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4BB0" w:rsidRPr="00B77D89" w:rsidRDefault="00A94BB0" w:rsidP="00A94BB0">
      <w:pPr>
        <w:pStyle w:val="aa"/>
        <w:widowControl/>
        <w:spacing w:beforeAutospacing="0" w:afterAutospacing="0" w:line="384" w:lineRule="atLeast"/>
        <w:rPr>
          <w:rFonts w:ascii="黑体" w:eastAsia="黑体" w:hAnsi="黑体" w:hint="eastAsia"/>
          <w:sz w:val="32"/>
          <w:szCs w:val="32"/>
          <w:shd w:val="clear" w:color="auto" w:fill="FFFFFF"/>
        </w:rPr>
      </w:pPr>
      <w:r w:rsidRPr="00B77D89">
        <w:rPr>
          <w:rFonts w:ascii="黑体" w:eastAsia="黑体" w:hAnsi="黑体"/>
          <w:sz w:val="32"/>
          <w:szCs w:val="32"/>
          <w:shd w:val="clear" w:color="auto" w:fill="FFFFFF"/>
        </w:rPr>
        <w:t>附件</w:t>
      </w:r>
      <w:r>
        <w:rPr>
          <w:rFonts w:ascii="黑体" w:eastAsia="黑体" w:hAnsi="黑体" w:hint="eastAsia"/>
          <w:sz w:val="32"/>
          <w:szCs w:val="32"/>
          <w:shd w:val="clear" w:color="auto" w:fill="FFFFFF"/>
        </w:rPr>
        <w:t>2</w:t>
      </w:r>
    </w:p>
    <w:p w:rsidR="00A94BB0" w:rsidRDefault="00A94BB0" w:rsidP="00A94BB0">
      <w:pPr>
        <w:spacing w:afterLines="50" w:after="156" w:line="560" w:lineRule="exact"/>
        <w:jc w:val="center"/>
        <w:rPr>
          <w:rFonts w:ascii="Times New Roman" w:eastAsia="方正小标宋简体" w:hAnsi="Times New Roman" w:cs="Times New Roman"/>
          <w:b/>
          <w:sz w:val="44"/>
          <w:szCs w:val="44"/>
        </w:rPr>
      </w:pPr>
    </w:p>
    <w:p w:rsidR="00A94BB0" w:rsidRDefault="00A94BB0" w:rsidP="00A94BB0">
      <w:pPr>
        <w:spacing w:afterLines="50" w:after="156" w:line="560" w:lineRule="exact"/>
        <w:jc w:val="center"/>
        <w:rPr>
          <w:rFonts w:ascii="Times New Roman" w:eastAsia="方正小标宋简体" w:hAnsi="Times New Roman" w:cs="Times New Roman"/>
          <w:b/>
          <w:sz w:val="44"/>
          <w:szCs w:val="44"/>
        </w:rPr>
      </w:pPr>
    </w:p>
    <w:p w:rsidR="00A94BB0" w:rsidRPr="00327F98" w:rsidRDefault="00A94BB0" w:rsidP="00A94BB0">
      <w:pPr>
        <w:spacing w:afterLines="50" w:after="156" w:line="560" w:lineRule="exact"/>
        <w:jc w:val="center"/>
        <w:rPr>
          <w:rFonts w:ascii="Times New Roman" w:eastAsia="方正小标宋简体" w:hAnsi="Times New Roman" w:cs="Times New Roman"/>
          <w:sz w:val="52"/>
          <w:szCs w:val="52"/>
        </w:rPr>
      </w:pPr>
    </w:p>
    <w:p w:rsidR="00A94BB0" w:rsidRPr="00850011" w:rsidRDefault="00A94BB0" w:rsidP="00A94BB0">
      <w:pPr>
        <w:spacing w:afterLines="50" w:after="156" w:line="560" w:lineRule="exact"/>
        <w:jc w:val="center"/>
        <w:rPr>
          <w:rFonts w:ascii="Times New Roman" w:eastAsia="方正小标宋简体" w:hAnsi="Times New Roman" w:cs="Times New Roman"/>
          <w:spacing w:val="20"/>
          <w:sz w:val="44"/>
          <w:szCs w:val="44"/>
        </w:rPr>
      </w:pPr>
      <w:r w:rsidRPr="00850011">
        <w:rPr>
          <w:rFonts w:ascii="Times New Roman" w:eastAsia="方正小标宋简体" w:hAnsi="Times New Roman" w:cs="Times New Roman" w:hint="eastAsia"/>
          <w:spacing w:val="20"/>
          <w:sz w:val="44"/>
          <w:szCs w:val="44"/>
        </w:rPr>
        <w:t>管理科学与工程</w:t>
      </w:r>
      <w:r w:rsidRPr="00850011">
        <w:rPr>
          <w:rFonts w:ascii="Times New Roman" w:eastAsia="方正小标宋简体" w:hAnsi="Times New Roman" w:cs="Times New Roman"/>
          <w:spacing w:val="20"/>
          <w:sz w:val="44"/>
          <w:szCs w:val="44"/>
        </w:rPr>
        <w:t>学位授权</w:t>
      </w:r>
      <w:r w:rsidRPr="00850011">
        <w:rPr>
          <w:rFonts w:ascii="Times New Roman" w:eastAsia="方正小标宋简体" w:hAnsi="Times New Roman" w:cs="Times New Roman" w:hint="eastAsia"/>
          <w:spacing w:val="20"/>
          <w:sz w:val="44"/>
          <w:szCs w:val="44"/>
        </w:rPr>
        <w:t>点建设年度</w:t>
      </w:r>
      <w:r w:rsidRPr="00850011">
        <w:rPr>
          <w:rFonts w:ascii="Times New Roman" w:eastAsia="方正小标宋简体" w:hAnsi="Times New Roman" w:cs="Times New Roman"/>
          <w:spacing w:val="20"/>
          <w:sz w:val="44"/>
          <w:szCs w:val="44"/>
        </w:rPr>
        <w:t>报告</w:t>
      </w:r>
    </w:p>
    <w:p w:rsidR="00A94BB0" w:rsidRPr="00850011" w:rsidRDefault="00A94BB0" w:rsidP="00A94BB0">
      <w:pPr>
        <w:spacing w:afterLines="50" w:after="156" w:line="560" w:lineRule="exact"/>
        <w:jc w:val="center"/>
        <w:rPr>
          <w:rFonts w:ascii="Times New Roman" w:eastAsia="方正小标宋简体" w:hAnsi="Times New Roman" w:cs="Times New Roman"/>
          <w:spacing w:val="20"/>
          <w:sz w:val="44"/>
          <w:szCs w:val="44"/>
        </w:rPr>
      </w:pPr>
      <w:r w:rsidRPr="00850011">
        <w:rPr>
          <w:rFonts w:ascii="Times New Roman" w:eastAsia="方正小标宋简体" w:hAnsi="Times New Roman" w:cs="Times New Roman" w:hint="eastAsia"/>
          <w:spacing w:val="20"/>
          <w:sz w:val="44"/>
          <w:szCs w:val="44"/>
        </w:rPr>
        <w:t>（</w:t>
      </w:r>
      <w:r w:rsidRPr="00850011">
        <w:rPr>
          <w:rFonts w:ascii="Times New Roman" w:eastAsia="方正小标宋简体" w:hAnsi="Times New Roman" w:cs="Times New Roman" w:hint="eastAsia"/>
          <w:spacing w:val="20"/>
          <w:sz w:val="44"/>
          <w:szCs w:val="44"/>
        </w:rPr>
        <w:t>202</w:t>
      </w:r>
      <w:r>
        <w:rPr>
          <w:rFonts w:ascii="Times New Roman" w:eastAsia="方正小标宋简体" w:hAnsi="Times New Roman" w:cs="Times New Roman" w:hint="eastAsia"/>
          <w:spacing w:val="20"/>
          <w:sz w:val="44"/>
          <w:szCs w:val="44"/>
        </w:rPr>
        <w:t>3</w:t>
      </w:r>
      <w:r w:rsidRPr="00850011">
        <w:rPr>
          <w:rFonts w:ascii="Times New Roman" w:eastAsia="方正小标宋简体" w:hAnsi="Times New Roman" w:cs="Times New Roman" w:hint="eastAsia"/>
          <w:spacing w:val="20"/>
          <w:sz w:val="44"/>
          <w:szCs w:val="44"/>
        </w:rPr>
        <w:t>年度）</w:t>
      </w:r>
    </w:p>
    <w:p w:rsidR="00A94BB0" w:rsidRDefault="00A94BB0" w:rsidP="00A94BB0">
      <w:pPr>
        <w:spacing w:afterLines="50" w:after="156" w:line="560" w:lineRule="exact"/>
        <w:rPr>
          <w:rFonts w:ascii="Times New Roman" w:eastAsia="方正小标宋简体" w:hAnsi="Times New Roman" w:cs="Times New Roman"/>
          <w:b/>
          <w:sz w:val="44"/>
          <w:szCs w:val="44"/>
        </w:rPr>
      </w:pPr>
    </w:p>
    <w:tbl>
      <w:tblPr>
        <w:tblStyle w:val="af2"/>
        <w:tblW w:w="5040"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A94BB0" w:rsidTr="000D4D9C">
        <w:trPr>
          <w:jc w:val="center"/>
        </w:trPr>
        <w:tc>
          <w:tcPr>
            <w:tcW w:w="2160" w:type="dxa"/>
            <w:vMerge w:val="restart"/>
            <w:vAlign w:val="center"/>
          </w:tcPr>
          <w:p w:rsidR="00A94BB0" w:rsidRDefault="00A94BB0" w:rsidP="000D4D9C">
            <w:pPr>
              <w:spacing w:line="200" w:lineRule="atLeast"/>
              <w:jc w:val="center"/>
              <w:rPr>
                <w:rFonts w:eastAsia="楷体_GB2312"/>
                <w:b/>
                <w:sz w:val="30"/>
                <w:szCs w:val="30"/>
              </w:rPr>
            </w:pPr>
            <w:r>
              <w:rPr>
                <w:rFonts w:eastAsia="楷体_GB2312"/>
                <w:b/>
                <w:sz w:val="30"/>
                <w:szCs w:val="30"/>
              </w:rPr>
              <w:t>学位授予单位</w:t>
            </w:r>
          </w:p>
        </w:tc>
        <w:tc>
          <w:tcPr>
            <w:tcW w:w="2880" w:type="dxa"/>
            <w:tcBorders>
              <w:bottom w:val="single" w:sz="4" w:space="0" w:color="auto"/>
            </w:tcBorders>
            <w:vAlign w:val="center"/>
          </w:tcPr>
          <w:p w:rsidR="00A94BB0" w:rsidRDefault="00A94BB0" w:rsidP="000D4D9C">
            <w:pPr>
              <w:rPr>
                <w:rFonts w:eastAsia="楷体_GB2312"/>
                <w:b/>
                <w:sz w:val="30"/>
                <w:szCs w:val="30"/>
              </w:rPr>
            </w:pPr>
            <w:r>
              <w:rPr>
                <w:rFonts w:eastAsia="楷体_GB2312"/>
                <w:b/>
                <w:sz w:val="30"/>
                <w:szCs w:val="30"/>
              </w:rPr>
              <w:t>名称：</w:t>
            </w:r>
            <w:r>
              <w:rPr>
                <w:rFonts w:eastAsia="楷体_GB2312" w:hint="eastAsia"/>
                <w:b/>
                <w:sz w:val="30"/>
                <w:szCs w:val="30"/>
              </w:rPr>
              <w:t>南昌航空大学</w:t>
            </w:r>
          </w:p>
        </w:tc>
      </w:tr>
      <w:tr w:rsidR="00A94BB0" w:rsidTr="000D4D9C">
        <w:trPr>
          <w:jc w:val="center"/>
        </w:trPr>
        <w:tc>
          <w:tcPr>
            <w:tcW w:w="2160" w:type="dxa"/>
            <w:vMerge/>
            <w:vAlign w:val="center"/>
          </w:tcPr>
          <w:p w:rsidR="00A94BB0" w:rsidRDefault="00A94BB0" w:rsidP="000D4D9C">
            <w:pPr>
              <w:jc w:val="center"/>
              <w:rPr>
                <w:rFonts w:eastAsia="楷体_GB2312"/>
                <w:b/>
                <w:sz w:val="30"/>
                <w:szCs w:val="30"/>
              </w:rPr>
            </w:pPr>
          </w:p>
        </w:tc>
        <w:tc>
          <w:tcPr>
            <w:tcW w:w="2880" w:type="dxa"/>
            <w:tcBorders>
              <w:top w:val="single" w:sz="4" w:space="0" w:color="auto"/>
            </w:tcBorders>
            <w:vAlign w:val="center"/>
          </w:tcPr>
          <w:p w:rsidR="00A94BB0" w:rsidRDefault="00A94BB0" w:rsidP="000D4D9C">
            <w:pPr>
              <w:rPr>
                <w:rFonts w:eastAsia="楷体_GB2312"/>
                <w:b/>
                <w:sz w:val="30"/>
                <w:szCs w:val="30"/>
              </w:rPr>
            </w:pPr>
            <w:r>
              <w:rPr>
                <w:rFonts w:eastAsia="楷体_GB2312"/>
                <w:b/>
                <w:sz w:val="30"/>
                <w:szCs w:val="30"/>
              </w:rPr>
              <w:t>代码：</w:t>
            </w:r>
            <w:r>
              <w:rPr>
                <w:rFonts w:eastAsia="楷体_GB2312" w:hint="eastAsia"/>
                <w:b/>
                <w:sz w:val="30"/>
                <w:szCs w:val="30"/>
              </w:rPr>
              <w:t>10406</w:t>
            </w:r>
          </w:p>
        </w:tc>
      </w:tr>
    </w:tbl>
    <w:p w:rsidR="00A94BB0" w:rsidRDefault="00A94BB0" w:rsidP="00A94BB0">
      <w:pPr>
        <w:spacing w:line="720" w:lineRule="auto"/>
        <w:jc w:val="center"/>
        <w:rPr>
          <w:rFonts w:ascii="Times New Roman" w:eastAsia="楷体_GB2312" w:hAnsi="Times New Roman" w:cs="Times New Roman"/>
          <w:b/>
          <w:sz w:val="30"/>
          <w:szCs w:val="30"/>
        </w:rPr>
      </w:pPr>
    </w:p>
    <w:tbl>
      <w:tblPr>
        <w:tblStyle w:val="af2"/>
        <w:tblW w:w="5568"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410"/>
        <w:gridCol w:w="3158"/>
      </w:tblGrid>
      <w:tr w:rsidR="00A94BB0" w:rsidTr="000D4D9C">
        <w:trPr>
          <w:jc w:val="center"/>
        </w:trPr>
        <w:tc>
          <w:tcPr>
            <w:tcW w:w="2410" w:type="dxa"/>
            <w:vMerge w:val="restart"/>
            <w:vAlign w:val="center"/>
          </w:tcPr>
          <w:p w:rsidR="00A94BB0" w:rsidRDefault="00A94BB0" w:rsidP="000D4D9C">
            <w:pPr>
              <w:jc w:val="center"/>
              <w:rPr>
                <w:rFonts w:eastAsia="楷体_GB2312"/>
                <w:b/>
                <w:sz w:val="30"/>
                <w:szCs w:val="30"/>
              </w:rPr>
            </w:pPr>
            <w:r w:rsidRPr="00A94BB0">
              <w:rPr>
                <w:rFonts w:eastAsia="楷体_GB2312"/>
                <w:b/>
                <w:spacing w:val="100"/>
                <w:kern w:val="0"/>
                <w:sz w:val="30"/>
                <w:szCs w:val="30"/>
                <w:fitText w:val="1806" w:id="-753138688"/>
              </w:rPr>
              <w:t>授权学</w:t>
            </w:r>
            <w:r w:rsidRPr="00A94BB0">
              <w:rPr>
                <w:rFonts w:eastAsia="楷体_GB2312"/>
                <w:b/>
                <w:spacing w:val="1"/>
                <w:kern w:val="0"/>
                <w:sz w:val="30"/>
                <w:szCs w:val="30"/>
                <w:fitText w:val="1806" w:id="-753138688"/>
              </w:rPr>
              <w:t>科</w:t>
            </w:r>
          </w:p>
          <w:p w:rsidR="00A94BB0" w:rsidRDefault="00A94BB0" w:rsidP="000D4D9C">
            <w:pPr>
              <w:jc w:val="center"/>
              <w:rPr>
                <w:rFonts w:eastAsia="楷体_GB2312"/>
                <w:b/>
                <w:sz w:val="30"/>
                <w:szCs w:val="30"/>
              </w:rPr>
            </w:pPr>
            <w:r>
              <w:rPr>
                <w:rFonts w:eastAsia="楷体_GB2312"/>
                <w:b/>
                <w:sz w:val="30"/>
                <w:szCs w:val="30"/>
              </w:rPr>
              <w:t>（类别）</w:t>
            </w:r>
          </w:p>
        </w:tc>
        <w:tc>
          <w:tcPr>
            <w:tcW w:w="3158" w:type="dxa"/>
            <w:tcBorders>
              <w:bottom w:val="single" w:sz="4" w:space="0" w:color="auto"/>
            </w:tcBorders>
            <w:vAlign w:val="center"/>
          </w:tcPr>
          <w:p w:rsidR="00A94BB0" w:rsidRDefault="00A94BB0" w:rsidP="000D4D9C">
            <w:pPr>
              <w:rPr>
                <w:rFonts w:eastAsia="楷体_GB2312"/>
                <w:b/>
                <w:sz w:val="30"/>
                <w:szCs w:val="30"/>
              </w:rPr>
            </w:pPr>
            <w:r>
              <w:rPr>
                <w:rFonts w:eastAsia="楷体_GB2312"/>
                <w:b/>
                <w:sz w:val="30"/>
                <w:szCs w:val="30"/>
              </w:rPr>
              <w:t>名称：</w:t>
            </w:r>
            <w:r>
              <w:rPr>
                <w:rFonts w:eastAsia="楷体_GB2312" w:hint="eastAsia"/>
                <w:b/>
                <w:sz w:val="30"/>
                <w:szCs w:val="30"/>
              </w:rPr>
              <w:t>管理科学与工程</w:t>
            </w:r>
          </w:p>
        </w:tc>
      </w:tr>
      <w:tr w:rsidR="00A94BB0" w:rsidTr="000D4D9C">
        <w:trPr>
          <w:jc w:val="center"/>
        </w:trPr>
        <w:tc>
          <w:tcPr>
            <w:tcW w:w="2410" w:type="dxa"/>
            <w:vMerge/>
            <w:vAlign w:val="center"/>
          </w:tcPr>
          <w:p w:rsidR="00A94BB0" w:rsidRDefault="00A94BB0" w:rsidP="000D4D9C">
            <w:pPr>
              <w:rPr>
                <w:rFonts w:eastAsia="楷体_GB2312"/>
                <w:b/>
                <w:sz w:val="30"/>
                <w:szCs w:val="30"/>
              </w:rPr>
            </w:pPr>
          </w:p>
        </w:tc>
        <w:tc>
          <w:tcPr>
            <w:tcW w:w="3158" w:type="dxa"/>
            <w:tcBorders>
              <w:top w:val="single" w:sz="4" w:space="0" w:color="auto"/>
            </w:tcBorders>
            <w:vAlign w:val="center"/>
          </w:tcPr>
          <w:p w:rsidR="00A94BB0" w:rsidRDefault="00A94BB0" w:rsidP="000D4D9C">
            <w:pPr>
              <w:rPr>
                <w:rFonts w:eastAsia="楷体_GB2312"/>
                <w:b/>
                <w:sz w:val="30"/>
                <w:szCs w:val="30"/>
              </w:rPr>
            </w:pPr>
            <w:r>
              <w:rPr>
                <w:rFonts w:eastAsia="楷体_GB2312"/>
                <w:b/>
                <w:sz w:val="30"/>
                <w:szCs w:val="30"/>
              </w:rPr>
              <w:t>代码：</w:t>
            </w:r>
            <w:r>
              <w:rPr>
                <w:rFonts w:eastAsia="楷体_GB2312" w:hint="eastAsia"/>
                <w:b/>
                <w:sz w:val="30"/>
                <w:szCs w:val="30"/>
              </w:rPr>
              <w:t>1201</w:t>
            </w:r>
          </w:p>
        </w:tc>
      </w:tr>
    </w:tbl>
    <w:p w:rsidR="00A94BB0" w:rsidRDefault="00A94BB0" w:rsidP="00A94BB0">
      <w:pPr>
        <w:spacing w:line="720" w:lineRule="auto"/>
        <w:jc w:val="center"/>
        <w:rPr>
          <w:rFonts w:ascii="Times New Roman" w:eastAsia="楷体_GB2312" w:hAnsi="Times New Roman" w:cs="Times New Roman"/>
          <w:b/>
          <w:sz w:val="30"/>
          <w:szCs w:val="30"/>
        </w:rPr>
      </w:pPr>
    </w:p>
    <w:tbl>
      <w:tblPr>
        <w:tblStyle w:val="af2"/>
        <w:tblW w:w="5040"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A94BB0" w:rsidTr="000D4D9C">
        <w:trPr>
          <w:jc w:val="center"/>
        </w:trPr>
        <w:tc>
          <w:tcPr>
            <w:tcW w:w="2160" w:type="dxa"/>
            <w:vMerge w:val="restart"/>
            <w:vAlign w:val="center"/>
          </w:tcPr>
          <w:p w:rsidR="00A94BB0" w:rsidRDefault="00A94BB0" w:rsidP="000D4D9C">
            <w:pPr>
              <w:jc w:val="distribute"/>
              <w:rPr>
                <w:rFonts w:eastAsia="楷体_GB2312"/>
                <w:b/>
                <w:sz w:val="30"/>
                <w:szCs w:val="30"/>
              </w:rPr>
            </w:pPr>
            <w:r w:rsidRPr="00A94BB0">
              <w:rPr>
                <w:rFonts w:eastAsia="楷体_GB2312"/>
                <w:b/>
                <w:spacing w:val="100"/>
                <w:kern w:val="0"/>
                <w:sz w:val="30"/>
                <w:szCs w:val="30"/>
                <w:fitText w:val="1806" w:id="-753138687"/>
              </w:rPr>
              <w:t>授权级</w:t>
            </w:r>
            <w:r w:rsidRPr="00A94BB0">
              <w:rPr>
                <w:rFonts w:eastAsia="楷体_GB2312"/>
                <w:b/>
                <w:spacing w:val="1"/>
                <w:kern w:val="0"/>
                <w:sz w:val="30"/>
                <w:szCs w:val="30"/>
                <w:fitText w:val="1806" w:id="-753138687"/>
              </w:rPr>
              <w:t>别</w:t>
            </w:r>
          </w:p>
        </w:tc>
        <w:tc>
          <w:tcPr>
            <w:tcW w:w="2880" w:type="dxa"/>
            <w:tcBorders>
              <w:bottom w:val="single" w:sz="4" w:space="0" w:color="auto"/>
            </w:tcBorders>
            <w:vAlign w:val="center"/>
          </w:tcPr>
          <w:p w:rsidR="00A94BB0" w:rsidRDefault="00A94BB0" w:rsidP="000D4D9C">
            <w:pPr>
              <w:rPr>
                <w:rFonts w:eastAsia="楷体_GB2312"/>
                <w:b/>
                <w:sz w:val="30"/>
                <w:szCs w:val="30"/>
              </w:rPr>
            </w:pPr>
            <w:r>
              <w:rPr>
                <w:rFonts w:eastAsia="楷体_GB2312"/>
                <w:b/>
                <w:sz w:val="30"/>
                <w:szCs w:val="30"/>
              </w:rPr>
              <w:t xml:space="preserve">□  </w:t>
            </w:r>
            <w:r>
              <w:rPr>
                <w:rFonts w:eastAsia="楷体_GB2312"/>
                <w:b/>
                <w:sz w:val="30"/>
                <w:szCs w:val="30"/>
              </w:rPr>
              <w:t>博</w:t>
            </w:r>
            <w:r>
              <w:rPr>
                <w:rFonts w:eastAsia="楷体_GB2312"/>
                <w:b/>
                <w:sz w:val="30"/>
                <w:szCs w:val="30"/>
              </w:rPr>
              <w:t xml:space="preserve">  </w:t>
            </w:r>
            <w:r>
              <w:rPr>
                <w:rFonts w:eastAsia="楷体_GB2312"/>
                <w:b/>
                <w:sz w:val="30"/>
                <w:szCs w:val="30"/>
              </w:rPr>
              <w:t>士</w:t>
            </w:r>
          </w:p>
        </w:tc>
      </w:tr>
      <w:tr w:rsidR="00A94BB0" w:rsidTr="000D4D9C">
        <w:trPr>
          <w:jc w:val="center"/>
        </w:trPr>
        <w:tc>
          <w:tcPr>
            <w:tcW w:w="2160" w:type="dxa"/>
            <w:vMerge/>
          </w:tcPr>
          <w:p w:rsidR="00A94BB0" w:rsidRDefault="00A94BB0" w:rsidP="000D4D9C">
            <w:pPr>
              <w:jc w:val="center"/>
              <w:rPr>
                <w:rFonts w:eastAsia="楷体_GB2312"/>
                <w:b/>
                <w:sz w:val="30"/>
                <w:szCs w:val="30"/>
              </w:rPr>
            </w:pPr>
          </w:p>
        </w:tc>
        <w:tc>
          <w:tcPr>
            <w:tcW w:w="2880" w:type="dxa"/>
            <w:tcBorders>
              <w:top w:val="single" w:sz="4" w:space="0" w:color="auto"/>
            </w:tcBorders>
            <w:vAlign w:val="center"/>
          </w:tcPr>
          <w:p w:rsidR="00A94BB0" w:rsidRDefault="00A94BB0" w:rsidP="000D4D9C">
            <w:pPr>
              <w:rPr>
                <w:rFonts w:eastAsia="楷体_GB2312"/>
                <w:b/>
                <w:sz w:val="30"/>
                <w:szCs w:val="30"/>
              </w:rPr>
            </w:pPr>
            <w:r>
              <w:rPr>
                <w:rFonts w:eastAsia="楷体_GB2312"/>
                <w:b/>
                <w:sz w:val="30"/>
                <w:szCs w:val="30"/>
              </w:rPr>
              <w:sym w:font="Wingdings 2" w:char="F052"/>
            </w:r>
            <w:r>
              <w:rPr>
                <w:rFonts w:eastAsia="楷体_GB2312"/>
                <w:b/>
                <w:sz w:val="30"/>
                <w:szCs w:val="30"/>
              </w:rPr>
              <w:t xml:space="preserve"> </w:t>
            </w:r>
            <w:proofErr w:type="gramStart"/>
            <w:r>
              <w:rPr>
                <w:rFonts w:eastAsia="楷体_GB2312"/>
                <w:b/>
                <w:sz w:val="30"/>
                <w:szCs w:val="30"/>
              </w:rPr>
              <w:t>硕</w:t>
            </w:r>
            <w:proofErr w:type="gramEnd"/>
            <w:r>
              <w:rPr>
                <w:rFonts w:eastAsia="楷体_GB2312"/>
                <w:b/>
                <w:sz w:val="30"/>
                <w:szCs w:val="30"/>
              </w:rPr>
              <w:t xml:space="preserve">  </w:t>
            </w:r>
            <w:r>
              <w:rPr>
                <w:rFonts w:eastAsia="楷体_GB2312"/>
                <w:b/>
                <w:sz w:val="30"/>
                <w:szCs w:val="30"/>
              </w:rPr>
              <w:t>士</w:t>
            </w:r>
          </w:p>
        </w:tc>
      </w:tr>
    </w:tbl>
    <w:p w:rsidR="00A94BB0" w:rsidRDefault="00A94BB0" w:rsidP="00A94BB0">
      <w:pPr>
        <w:rPr>
          <w:rFonts w:ascii="Times New Roman" w:eastAsia="楷体_GB2312" w:hAnsi="Times New Roman" w:cs="Times New Roman"/>
          <w:b/>
          <w:sz w:val="30"/>
          <w:szCs w:val="30"/>
        </w:rPr>
      </w:pPr>
    </w:p>
    <w:p w:rsidR="00A94BB0" w:rsidRDefault="00A94BB0" w:rsidP="00A94BB0">
      <w:pPr>
        <w:jc w:val="center"/>
        <w:rPr>
          <w:rFonts w:ascii="Times New Roman" w:eastAsia="楷体_GB2312" w:hAnsi="Times New Roman" w:cs="Times New Roman"/>
          <w:b/>
          <w:sz w:val="30"/>
          <w:szCs w:val="30"/>
        </w:rPr>
      </w:pPr>
    </w:p>
    <w:p w:rsidR="00A94BB0" w:rsidRDefault="00A94BB0" w:rsidP="00A94BB0">
      <w:pPr>
        <w:tabs>
          <w:tab w:val="left" w:pos="8040"/>
        </w:tabs>
        <w:spacing w:line="360" w:lineRule="auto"/>
        <w:jc w:val="center"/>
        <w:rPr>
          <w:rFonts w:ascii="楷体_GB2312" w:eastAsia="楷体_GB2312" w:hAnsi="Times New Roman" w:cs="Times New Roman"/>
          <w:b/>
          <w:sz w:val="36"/>
          <w:szCs w:val="30"/>
        </w:rPr>
      </w:pPr>
      <w:r w:rsidRPr="00404C6B">
        <w:rPr>
          <w:rFonts w:ascii="楷体_GB2312" w:eastAsia="楷体_GB2312" w:hAnsi="Times New Roman" w:cs="Times New Roman" w:hint="eastAsia"/>
          <w:b/>
          <w:sz w:val="36"/>
          <w:szCs w:val="30"/>
        </w:rPr>
        <w:t>202</w:t>
      </w:r>
      <w:r>
        <w:rPr>
          <w:rFonts w:ascii="楷体_GB2312" w:eastAsia="楷体_GB2312" w:hAnsi="Times New Roman" w:cs="Times New Roman" w:hint="eastAsia"/>
          <w:b/>
          <w:sz w:val="36"/>
          <w:szCs w:val="30"/>
        </w:rPr>
        <w:t>3</w:t>
      </w:r>
      <w:r w:rsidRPr="00404C6B">
        <w:rPr>
          <w:rFonts w:ascii="楷体_GB2312" w:eastAsia="楷体_GB2312" w:hAnsi="Times New Roman" w:cs="Times New Roman" w:hint="eastAsia"/>
          <w:b/>
          <w:sz w:val="36"/>
          <w:szCs w:val="30"/>
        </w:rPr>
        <w:t>年</w:t>
      </w:r>
      <w:r>
        <w:rPr>
          <w:rFonts w:ascii="楷体_GB2312" w:eastAsia="楷体_GB2312" w:hAnsi="Times New Roman" w:cs="Times New Roman" w:hint="eastAsia"/>
          <w:b/>
          <w:sz w:val="36"/>
          <w:szCs w:val="30"/>
        </w:rPr>
        <w:t>12</w:t>
      </w:r>
      <w:r w:rsidRPr="00404C6B">
        <w:rPr>
          <w:rFonts w:ascii="楷体_GB2312" w:eastAsia="楷体_GB2312" w:hAnsi="Times New Roman" w:cs="Times New Roman" w:hint="eastAsia"/>
          <w:b/>
          <w:sz w:val="36"/>
          <w:szCs w:val="30"/>
        </w:rPr>
        <w:t>月</w:t>
      </w:r>
      <w:r>
        <w:rPr>
          <w:rFonts w:ascii="楷体_GB2312" w:eastAsia="楷体_GB2312" w:hAnsi="Times New Roman" w:cs="Times New Roman" w:hint="eastAsia"/>
          <w:b/>
          <w:sz w:val="36"/>
          <w:szCs w:val="30"/>
        </w:rPr>
        <w:t>30</w:t>
      </w:r>
      <w:r w:rsidRPr="00404C6B">
        <w:rPr>
          <w:rFonts w:ascii="楷体_GB2312" w:eastAsia="楷体_GB2312" w:hAnsi="Times New Roman" w:cs="Times New Roman" w:hint="eastAsia"/>
          <w:b/>
          <w:sz w:val="36"/>
          <w:szCs w:val="30"/>
        </w:rPr>
        <w:t>日</w:t>
      </w:r>
    </w:p>
    <w:p w:rsidR="00DD4869" w:rsidRDefault="00000000" w:rsidP="00A94BB0">
      <w:pPr>
        <w:tabs>
          <w:tab w:val="left" w:pos="8040"/>
        </w:tabs>
        <w:spacing w:line="360" w:lineRule="auto"/>
        <w:rPr>
          <w:rFonts w:ascii="宋体" w:eastAsia="宋体" w:hAnsi="宋体" w:cs="宋体" w:hint="eastAsia"/>
          <w:spacing w:val="-3"/>
          <w:sz w:val="28"/>
          <w:szCs w:val="28"/>
        </w:rPr>
      </w:pPr>
      <w:r>
        <w:rPr>
          <w:rFonts w:ascii="黑体" w:eastAsia="黑体" w:hAnsi="黑体" w:cs="黑体" w:hint="eastAsia"/>
          <w:sz w:val="32"/>
          <w:szCs w:val="32"/>
        </w:rPr>
        <w:lastRenderedPageBreak/>
        <w:t>一、</w:t>
      </w:r>
      <w:r>
        <w:rPr>
          <w:rStyle w:val="NormalCharacter"/>
          <w:rFonts w:ascii="黑体" w:eastAsia="黑体" w:hAnsi="黑体" w:cs="黑体" w:hint="eastAsia"/>
          <w:szCs w:val="32"/>
        </w:rPr>
        <w:t>总体概况</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（一）学位授权点基本情况</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本学位授权点于2011年获批管理科学与工程一级学科硕士学位授予权，2012年开始招收研究生。2018 年顺利通过教育部合格评估。下设3个二级学科点，分别为区域管理与公共政策、区域与产业经济管理、体育管理学。本学科在全国第五轮学科评估为 C-。学位点陆续搭建了具有学科、行业特色鲜明的科研平台8个。其中，省级科研平台2个，市校共建平台2个，校级平台4个。包括江西省航空产业发展与管理创新研究基地（江西省科技厅软科学基地）、军民融合与航空发展研究院（江西省社联重点高端智库）、江西区域经济与竞争力研究中心、南昌航空大学民营经济研究院等。</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（二）人才培养情况</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2023年完成硕士研究生招生32人；2023届硕士毕业35人，就业率89.47%；其中考取博士研究生2人、3人进入党政机关、4人进入高校、10人进入企事业单位、5人进入民营企业，整体就业质量较高。获得了2023年江西省管理案例分析大赛研究生组获得一等奖1项，全省合计3项；获得了江西省管理学会2023年年会平行论坛学术论文特等奖1项，全省合计2项，获奖数量居全省高校第2。江西省研究创新专项项目2项、校级创新专项项目11项。2023年组织研究生积极参与国内外各种学术交流活动，其中30余人参加了中国机械工程学会工业工程分会年会暨第二十七届工业工程与工程管理国际学术会议第十二届工业工程企业应用与实践高峰论坛，40余人参加了江西省管理学</w:t>
      </w:r>
      <w:r>
        <w:rPr>
          <w:rFonts w:ascii="宋体" w:eastAsia="宋体" w:hAnsi="宋体" w:cs="宋体" w:hint="eastAsia"/>
          <w:spacing w:val="-7"/>
          <w:sz w:val="28"/>
          <w:szCs w:val="28"/>
        </w:rPr>
        <w:lastRenderedPageBreak/>
        <w:t>年会及案例分析大赛以及学校第四届校友发展论坛等。</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（三）导师队伍情况</w:t>
      </w:r>
    </w:p>
    <w:p w:rsidR="00DD4869" w:rsidRDefault="00000000">
      <w:pPr>
        <w:spacing w:line="360" w:lineRule="auto"/>
        <w:ind w:left="11" w:right="107" w:firstLine="562"/>
        <w:rPr>
          <w:rStyle w:val="NormalCharacter"/>
          <w:rFonts w:ascii="黑体" w:eastAsia="黑体" w:hAnsi="黑体" w:cs="黑体" w:hint="eastAsia"/>
          <w:szCs w:val="32"/>
        </w:rPr>
      </w:pPr>
      <w:r>
        <w:rPr>
          <w:rFonts w:ascii="宋体" w:eastAsia="宋体" w:hAnsi="宋体" w:cs="宋体" w:hint="eastAsia"/>
          <w:spacing w:val="-7"/>
          <w:sz w:val="28"/>
          <w:szCs w:val="28"/>
        </w:rPr>
        <w:t>本学科坚持立德树人为根本，面向国家重大战略需求和区域经济发展，注重跨学科交叉融合，创新研究与实践并重。经过多年的学科建设与发展，导师队伍建设成效显著。</w:t>
      </w:r>
      <w:r>
        <w:rPr>
          <w:rFonts w:ascii="宋体" w:eastAsia="宋体" w:hAnsi="宋体" w:cs="宋体" w:hint="eastAsia"/>
          <w:color w:val="000000"/>
          <w:sz w:val="28"/>
          <w:szCs w:val="28"/>
          <w:shd w:val="clear" w:color="auto" w:fill="FFFFFF"/>
        </w:rPr>
        <w:t>学科点师资力量雄厚，有教授25 人、副教授32 人，博士学位教师48 人，江西省“双千”人才2 人，江西省文化名家暨“四个一批”人才1 人，江西省宣传文化青年英才1 人，江西省井</w:t>
      </w:r>
      <w:proofErr w:type="gramStart"/>
      <w:r>
        <w:rPr>
          <w:rFonts w:ascii="宋体" w:eastAsia="宋体" w:hAnsi="宋体" w:cs="宋体" w:hint="eastAsia"/>
          <w:color w:val="000000"/>
          <w:sz w:val="28"/>
          <w:szCs w:val="28"/>
          <w:shd w:val="clear" w:color="auto" w:fill="FFFFFF"/>
        </w:rPr>
        <w:t>冈学者</w:t>
      </w:r>
      <w:proofErr w:type="gramEnd"/>
      <w:r>
        <w:rPr>
          <w:rFonts w:ascii="宋体" w:eastAsia="宋体" w:hAnsi="宋体" w:cs="宋体" w:hint="eastAsia"/>
          <w:color w:val="000000"/>
          <w:sz w:val="28"/>
          <w:szCs w:val="28"/>
          <w:shd w:val="clear" w:color="auto" w:fill="FFFFFF"/>
        </w:rPr>
        <w:t>1 人，江西省青年井冈学者1 人，江西省金牌研究生导师1 人、金牌青年教师1 人。</w:t>
      </w:r>
      <w:r>
        <w:rPr>
          <w:rFonts w:ascii="宋体" w:eastAsia="宋体" w:hAnsi="宋体" w:cs="宋体" w:hint="eastAsia"/>
          <w:spacing w:val="-7"/>
          <w:sz w:val="28"/>
          <w:szCs w:val="28"/>
        </w:rPr>
        <w:t>2023年本</w:t>
      </w:r>
      <w:proofErr w:type="gramStart"/>
      <w:r>
        <w:rPr>
          <w:rFonts w:ascii="宋体" w:eastAsia="宋体" w:hAnsi="宋体" w:cs="宋体" w:hint="eastAsia"/>
          <w:spacing w:val="-7"/>
          <w:sz w:val="28"/>
          <w:szCs w:val="28"/>
        </w:rPr>
        <w:t>学科获批国家</w:t>
      </w:r>
      <w:proofErr w:type="gramEnd"/>
      <w:r>
        <w:rPr>
          <w:rFonts w:ascii="宋体" w:eastAsia="宋体" w:hAnsi="宋体" w:cs="宋体" w:hint="eastAsia"/>
          <w:spacing w:val="-7"/>
          <w:sz w:val="28"/>
          <w:szCs w:val="28"/>
        </w:rPr>
        <w:t>基金5项，省级科研项目13项，纵向科研经费达到200余万元，横向科研经费达到100余万元。获省社会科学优秀成果奖3项，其中一等奖1项，为学校时隔十年再次斩获一等奖。在SCI/SSCI/CSSCI/CSCD/北大中文核心等期刊发表学术论文63篇，出版学术专著9部，在《江西日报》刊登了理论文章1篇。</w:t>
      </w:r>
    </w:p>
    <w:p w:rsidR="00DD4869" w:rsidRDefault="00000000">
      <w:pPr>
        <w:spacing w:line="360" w:lineRule="auto"/>
        <w:ind w:firstLineChars="200" w:firstLine="640"/>
        <w:textAlignment w:val="baseline"/>
        <w:rPr>
          <w:rStyle w:val="NormalCharacter"/>
          <w:rFonts w:ascii="黑体" w:eastAsia="黑体" w:hAnsi="黑体" w:cs="黑体" w:hint="eastAsia"/>
          <w:szCs w:val="32"/>
        </w:rPr>
      </w:pPr>
      <w:r>
        <w:rPr>
          <w:rFonts w:ascii="黑体" w:eastAsia="黑体" w:hAnsi="黑体" w:cs="黑体" w:hint="eastAsia"/>
          <w:sz w:val="32"/>
          <w:szCs w:val="32"/>
        </w:rPr>
        <w:t>二、</w:t>
      </w:r>
      <w:r>
        <w:rPr>
          <w:rStyle w:val="NormalCharacter"/>
          <w:rFonts w:ascii="黑体" w:eastAsia="黑体" w:hAnsi="黑体" w:cs="黑体" w:hint="eastAsia"/>
          <w:szCs w:val="32"/>
        </w:rPr>
        <w:t>研究生党建与思想政治教育工作</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（一）思想政治教育队伍建设</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学院党委组织机构配置齐全，且能够结合高校党建实际情况， 创新基层党建组织模式。同时，学院专职党建思想政治教育队伍配备齐全，现有专职的党建人员如下：书记 1 名（专职），副书记 1 名 （专职），4名党委委员。学院党委严格按照“五个到位”要求，书记抓党建述</w:t>
      </w:r>
      <w:r w:rsidRPr="00AA214E">
        <w:rPr>
          <w:rFonts w:ascii="宋体" w:eastAsia="宋体" w:hAnsi="宋体" w:cs="宋体" w:hint="eastAsia"/>
          <w:spacing w:val="-7"/>
          <w:sz w:val="28"/>
          <w:szCs w:val="28"/>
        </w:rPr>
        <w:t>职多次</w:t>
      </w:r>
      <w:r w:rsidR="008D6B37" w:rsidRPr="00AA214E">
        <w:rPr>
          <w:rFonts w:ascii="宋体" w:eastAsia="宋体" w:hAnsi="宋体" w:cs="宋体" w:hint="eastAsia"/>
          <w:spacing w:val="-7"/>
          <w:sz w:val="28"/>
          <w:szCs w:val="28"/>
        </w:rPr>
        <w:t>获评</w:t>
      </w:r>
      <w:r w:rsidRPr="00AA214E">
        <w:rPr>
          <w:rFonts w:ascii="宋体" w:eastAsia="宋体" w:hAnsi="宋体" w:cs="宋体" w:hint="eastAsia"/>
          <w:spacing w:val="-7"/>
          <w:sz w:val="28"/>
          <w:szCs w:val="28"/>
        </w:rPr>
        <w:t>“好”等次。获评校级“党建工作标杆学院”、1个“党建工作样板支部”、1个“双带头人”</w:t>
      </w:r>
      <w:r>
        <w:rPr>
          <w:rFonts w:ascii="宋体" w:eastAsia="宋体" w:hAnsi="宋体" w:cs="宋体" w:hint="eastAsia"/>
          <w:spacing w:val="-7"/>
          <w:sz w:val="28"/>
          <w:szCs w:val="28"/>
        </w:rPr>
        <w:lastRenderedPageBreak/>
        <w:t>教师党支部书记工作室。2023年学院3名研究生导师、1名研究生获</w:t>
      </w:r>
      <w:proofErr w:type="gramStart"/>
      <w:r>
        <w:rPr>
          <w:rFonts w:ascii="宋体" w:eastAsia="宋体" w:hAnsi="宋体" w:cs="宋体" w:hint="eastAsia"/>
          <w:spacing w:val="-7"/>
          <w:sz w:val="28"/>
          <w:szCs w:val="28"/>
        </w:rPr>
        <w:t>评学校</w:t>
      </w:r>
      <w:proofErr w:type="gramEnd"/>
      <w:r>
        <w:rPr>
          <w:rFonts w:ascii="宋体" w:eastAsia="宋体" w:hAnsi="宋体" w:cs="宋体" w:hint="eastAsia"/>
          <w:spacing w:val="-7"/>
          <w:sz w:val="28"/>
          <w:szCs w:val="28"/>
        </w:rPr>
        <w:t>“优秀共产党员”，1名辅导员获评“优秀党务工作者”，1个教工党支部和2个研究生学生党支部获评“先进基层党组织”；获省党建研究优秀成果1项；获</w:t>
      </w:r>
      <w:proofErr w:type="gramStart"/>
      <w:r>
        <w:rPr>
          <w:rFonts w:ascii="宋体" w:eastAsia="宋体" w:hAnsi="宋体" w:cs="宋体" w:hint="eastAsia"/>
          <w:spacing w:val="-7"/>
          <w:sz w:val="28"/>
          <w:szCs w:val="28"/>
        </w:rPr>
        <w:t>评学校</w:t>
      </w:r>
      <w:proofErr w:type="gramEnd"/>
      <w:r>
        <w:rPr>
          <w:rFonts w:ascii="宋体" w:eastAsia="宋体" w:hAnsi="宋体" w:cs="宋体" w:hint="eastAsia"/>
          <w:spacing w:val="-7"/>
          <w:sz w:val="28"/>
          <w:szCs w:val="28"/>
        </w:rPr>
        <w:t>“一院一品”文化品牌建设项目，获</w:t>
      </w:r>
      <w:proofErr w:type="gramStart"/>
      <w:r>
        <w:rPr>
          <w:rFonts w:ascii="宋体" w:eastAsia="宋体" w:hAnsi="宋体" w:cs="宋体" w:hint="eastAsia"/>
          <w:spacing w:val="-7"/>
          <w:sz w:val="28"/>
          <w:szCs w:val="28"/>
        </w:rPr>
        <w:t>评学校廉洁文化</w:t>
      </w:r>
      <w:proofErr w:type="gramEnd"/>
      <w:r>
        <w:rPr>
          <w:rFonts w:ascii="宋体" w:eastAsia="宋体" w:hAnsi="宋体" w:cs="宋体" w:hint="eastAsia"/>
          <w:spacing w:val="-7"/>
          <w:sz w:val="28"/>
          <w:szCs w:val="28"/>
        </w:rPr>
        <w:t>“一院一品”精品项目。</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学院建设有“温润书吧” 、新时代文明实践站、党员活动室、“双带头人”教师支部书记工作室、党群之家等活动阵地，同时大力建设有宣传栏、文化长廊、官微、网站</w:t>
      </w:r>
      <w:proofErr w:type="gramStart"/>
      <w:r>
        <w:rPr>
          <w:rFonts w:ascii="宋体" w:eastAsia="宋体" w:hAnsi="宋体" w:cs="宋体" w:hint="eastAsia"/>
          <w:spacing w:val="-7"/>
          <w:sz w:val="28"/>
          <w:szCs w:val="28"/>
        </w:rPr>
        <w:t>等思政宣传</w:t>
      </w:r>
      <w:proofErr w:type="gramEnd"/>
      <w:r>
        <w:rPr>
          <w:rFonts w:ascii="宋体" w:eastAsia="宋体" w:hAnsi="宋体" w:cs="宋体" w:hint="eastAsia"/>
          <w:spacing w:val="-7"/>
          <w:sz w:val="28"/>
          <w:szCs w:val="28"/>
        </w:rPr>
        <w:t>阵地；通过实施“党建双领双同计划” ，学生“四自”骨干培育计划，创新思政工作机制，形成了专业完善的研究生思政工作体系。</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（二）理想信念和社会主义核心价值观教育</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学院以党史学习教育为契机，紧紧围绕立德树人的根本任务，为 党育人、为国育才，始终把党的政治建设摆在首位，通过双带头人支部书记工作室，引领带动研究生支部开展各项学习教育活动，加强理 想信念和社会主义核心价值观教育，成效显著。</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一是思想引领，筑牢理想信念根基。坚持以习近平新时代中国特色社会主义思想为指导，将伟大建党精神、航空报国精神、红色基因融入大学生涯全过程。</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二是学在经管、健全学风建设长效机制。深耕“学在南航”之“学在经管”品牌，全面推进全员育人、全方位育人和全过程育人工作体系建设。</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lastRenderedPageBreak/>
        <w:t>三是三方联动，形成协同育人合力。构建教与学联动机制，教风学风齐抓共管，以教风带学风，以学风促教风。</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四是五育并举，推动学生全面发展，坚持德智体美劳五育并举，围绕创新“新文科”人才培养模式，秉承“运动并进取，打造活力经管”的理念，营造经管特色的体育文化，多举措深入、融合开展美育教育活动，传递积极向上的经管美育教育风采。</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（三）校园文化建设</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贯彻“德智体美劳”全面发展理念，努力营造“积极进取、全面发展、锐意创新、协同合作”的研究生校园文化。学科点组织了校院两级研究生学术论坛、</w:t>
      </w:r>
      <w:proofErr w:type="gramStart"/>
      <w:r>
        <w:rPr>
          <w:rFonts w:ascii="宋体" w:eastAsia="宋体" w:hAnsi="宋体" w:cs="宋体" w:hint="eastAsia"/>
          <w:spacing w:val="-7"/>
          <w:sz w:val="28"/>
          <w:szCs w:val="28"/>
        </w:rPr>
        <w:t>国奖省</w:t>
      </w:r>
      <w:proofErr w:type="gramEnd"/>
      <w:r>
        <w:rPr>
          <w:rFonts w:ascii="宋体" w:eastAsia="宋体" w:hAnsi="宋体" w:cs="宋体" w:hint="eastAsia"/>
          <w:spacing w:val="-7"/>
          <w:sz w:val="28"/>
          <w:szCs w:val="28"/>
        </w:rPr>
        <w:t>奖分享会、学术报告会、英语竞赛等学术活动提升研究生的学术功底；“德润心灵、书香校园”读书分享会、校运动会、校趣味运动会、“榜样的力量”表彰大会暨青春</w:t>
      </w:r>
      <w:proofErr w:type="gramStart"/>
      <w:r>
        <w:rPr>
          <w:rFonts w:ascii="宋体" w:eastAsia="宋体" w:hAnsi="宋体" w:cs="宋体" w:hint="eastAsia"/>
          <w:spacing w:val="-7"/>
          <w:sz w:val="28"/>
          <w:szCs w:val="28"/>
        </w:rPr>
        <w:t>思政课</w:t>
      </w:r>
      <w:proofErr w:type="gramEnd"/>
      <w:r>
        <w:rPr>
          <w:rFonts w:ascii="宋体" w:eastAsia="宋体" w:hAnsi="宋体" w:cs="宋体" w:hint="eastAsia"/>
          <w:spacing w:val="-7"/>
          <w:sz w:val="28"/>
          <w:szCs w:val="28"/>
        </w:rPr>
        <w:t>活动、红色历史知识竞赛、“红色观影润初心，坚定信仰铸党魂”观影活动、学习强国挑战答题知识竞赛等活动在丰富了研究生业余生活的同时，也提高了研究生文体素质；导师和研究生们在工作室一起学习工作、集体用工作餐等工作模式通过项目形式强化了学习效果和团队合作意识。</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（四）日常管理服务工作</w:t>
      </w:r>
    </w:p>
    <w:p w:rsidR="00DD4869" w:rsidRDefault="00000000">
      <w:pPr>
        <w:spacing w:line="360" w:lineRule="auto"/>
        <w:ind w:left="11" w:right="107" w:firstLine="562"/>
        <w:rPr>
          <w:rStyle w:val="NormalCharacter"/>
          <w:rFonts w:ascii="黑体" w:eastAsia="黑体" w:hAnsi="黑体" w:cs="黑体" w:hint="eastAsia"/>
          <w:szCs w:val="32"/>
        </w:rPr>
      </w:pPr>
      <w:r>
        <w:rPr>
          <w:rFonts w:ascii="宋体" w:eastAsia="宋体" w:hAnsi="宋体" w:cs="宋体" w:hint="eastAsia"/>
          <w:spacing w:val="-7"/>
          <w:sz w:val="28"/>
          <w:szCs w:val="28"/>
        </w:rPr>
        <w:t>学院形成了完善的研究生日常管理工作体系。学院配有一名副院长专管研究生工作，一名专职辅导员负责日常思想政治教育，每个年级配备一名教师担任学生党支部书记，一名教师担任班主任。同时依托双带头人支部书记工作</w:t>
      </w:r>
      <w:r>
        <w:rPr>
          <w:rFonts w:ascii="宋体" w:eastAsia="宋体" w:hAnsi="宋体" w:cs="宋体" w:hint="eastAsia"/>
          <w:spacing w:val="-7"/>
          <w:sz w:val="28"/>
          <w:szCs w:val="28"/>
        </w:rPr>
        <w:lastRenderedPageBreak/>
        <w:t>室，带动引领研究生开展党建</w:t>
      </w:r>
      <w:proofErr w:type="gramStart"/>
      <w:r>
        <w:rPr>
          <w:rFonts w:ascii="宋体" w:eastAsia="宋体" w:hAnsi="宋体" w:cs="宋体" w:hint="eastAsia"/>
          <w:spacing w:val="-7"/>
          <w:sz w:val="28"/>
          <w:szCs w:val="28"/>
        </w:rPr>
        <w:t>和思政教育</w:t>
      </w:r>
      <w:proofErr w:type="gramEnd"/>
      <w:r>
        <w:rPr>
          <w:rFonts w:ascii="宋体" w:eastAsia="宋体" w:hAnsi="宋体" w:cs="宋体" w:hint="eastAsia"/>
          <w:spacing w:val="-7"/>
          <w:sz w:val="28"/>
          <w:szCs w:val="28"/>
        </w:rPr>
        <w:t>；充分发挥研究生支部、班委和研究生党员“卓越领航工程”作用，将四</w:t>
      </w:r>
      <w:proofErr w:type="gramStart"/>
      <w:r>
        <w:rPr>
          <w:rFonts w:ascii="宋体" w:eastAsia="宋体" w:hAnsi="宋体" w:cs="宋体" w:hint="eastAsia"/>
          <w:spacing w:val="-7"/>
          <w:sz w:val="28"/>
          <w:szCs w:val="28"/>
        </w:rPr>
        <w:t>自教育</w:t>
      </w:r>
      <w:proofErr w:type="gramEnd"/>
      <w:r>
        <w:rPr>
          <w:rFonts w:ascii="宋体" w:eastAsia="宋体" w:hAnsi="宋体" w:cs="宋体" w:hint="eastAsia"/>
          <w:spacing w:val="-7"/>
          <w:sz w:val="28"/>
          <w:szCs w:val="28"/>
        </w:rPr>
        <w:t>的实质内涵渗透到日常工作中，在各方面取得了较为显著 的成效，充分发挥了高校立德树人的积极作用。</w:t>
      </w:r>
    </w:p>
    <w:p w:rsidR="00DD4869" w:rsidRDefault="00000000">
      <w:pPr>
        <w:spacing w:line="360" w:lineRule="auto"/>
        <w:ind w:firstLineChars="200" w:firstLine="640"/>
        <w:textAlignment w:val="baseline"/>
        <w:rPr>
          <w:rFonts w:ascii="仿宋_GB2312" w:eastAsia="仿宋_GB2312" w:hAnsi="方正仿宋简体" w:cs="方正仿宋简体" w:hint="eastAsia"/>
          <w:sz w:val="32"/>
          <w:szCs w:val="32"/>
        </w:rPr>
      </w:pPr>
      <w:r>
        <w:rPr>
          <w:rStyle w:val="NormalCharacter"/>
          <w:rFonts w:ascii="黑体" w:eastAsia="黑体" w:hAnsi="黑体" w:cs="黑体" w:hint="eastAsia"/>
          <w:szCs w:val="32"/>
        </w:rPr>
        <w:t>三、研究生培养相关制度及执行情况</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（一）课程建设与实施情况</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2023年上半年，学位点研究生开设课程 21门次，下半年，开设研究生课程10门次。学位点坚持立德树人，在教学过程中，</w:t>
      </w:r>
      <w:proofErr w:type="gramStart"/>
      <w:r>
        <w:rPr>
          <w:rFonts w:ascii="宋体" w:eastAsia="宋体" w:hAnsi="宋体" w:cs="宋体" w:hint="eastAsia"/>
          <w:spacing w:val="-7"/>
          <w:sz w:val="28"/>
          <w:szCs w:val="28"/>
        </w:rPr>
        <w:t>将思政元素</w:t>
      </w:r>
      <w:proofErr w:type="gramEnd"/>
      <w:r>
        <w:rPr>
          <w:rFonts w:ascii="宋体" w:eastAsia="宋体" w:hAnsi="宋体" w:cs="宋体" w:hint="eastAsia"/>
          <w:spacing w:val="-7"/>
          <w:sz w:val="28"/>
          <w:szCs w:val="28"/>
        </w:rPr>
        <w:t>贯穿课堂和实践教学，采用“学生评价教学、同行互评教学、督导评估教学”的方式，并重强调“监督检查”与“专业指导”的作用。在教材选用中，根据《南昌航空大学教材管理办法（2021修订）》把好教材审核关。积极组织任课教师申报江西省研究生“课程思政示范项目”，取得了一定的成效。组建课程教学团队，主要课程均由2人以上的教师团队教学，提升教学质量。</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（二）导师选拔培训</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依据学校文件，学科点每年开展一次新增硕士研究生指导教师资格遴选工作，并出台导师动态上岗招生文件和</w:t>
      </w:r>
      <w:proofErr w:type="gramStart"/>
      <w:r>
        <w:rPr>
          <w:rFonts w:ascii="宋体" w:eastAsia="宋体" w:hAnsi="宋体" w:cs="宋体" w:hint="eastAsia"/>
          <w:spacing w:val="-7"/>
          <w:sz w:val="28"/>
          <w:szCs w:val="28"/>
        </w:rPr>
        <w:t>师生双</w:t>
      </w:r>
      <w:proofErr w:type="gramEnd"/>
      <w:r>
        <w:rPr>
          <w:rFonts w:ascii="宋体" w:eastAsia="宋体" w:hAnsi="宋体" w:cs="宋体" w:hint="eastAsia"/>
          <w:spacing w:val="-7"/>
          <w:sz w:val="28"/>
          <w:szCs w:val="28"/>
        </w:rPr>
        <w:t>选办法。在导师选聘过程中，严把政治思想关，将思想过硬、政治素质强，学术水平高、实践能力强的教师聘用为导师。</w:t>
      </w:r>
      <w:bookmarkStart w:id="0" w:name="bookmark41"/>
      <w:bookmarkEnd w:id="0"/>
      <w:r>
        <w:rPr>
          <w:rFonts w:ascii="宋体" w:eastAsia="宋体" w:hAnsi="宋体" w:cs="宋体" w:hint="eastAsia"/>
          <w:spacing w:val="-7"/>
          <w:sz w:val="28"/>
          <w:szCs w:val="28"/>
        </w:rPr>
        <w:t>学位点通过请进来、走出去等多种方式开展导师的教学、科研能力培训，2023年参加各类教学研讨、学术交流和课程培训达35人次。对导师进行教学评价，实行自我评价、学生评价、教学督导相结合的教学评价制度。依据省级和学校文件，学科点每3年开展导师能力评价工作，严格按照评价指标</w:t>
      </w:r>
      <w:r>
        <w:rPr>
          <w:rFonts w:ascii="宋体" w:eastAsia="宋体" w:hAnsi="宋体" w:cs="宋体" w:hint="eastAsia"/>
          <w:spacing w:val="-7"/>
          <w:sz w:val="28"/>
          <w:szCs w:val="28"/>
        </w:rPr>
        <w:lastRenderedPageBreak/>
        <w:t>体系审核，审核不合格的导师取消下一年度招生资格。</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（三）师德师风建设</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成立了由院长、书记担任组长，分管副院长担任副组长，各系主任、党支部书记为成员的师德师风建设领导小组。领导小组负责制定师德师风建设规划、组织落实各项工作。本学位点以立德树人为核心， 着力师德师风建设。根据《南昌航空大学师德师风建设实施细则》《南昌航空大学教师职业道德规范》《南昌航空大学教师行为准则》《南昌航空大学关于全面深化新时代人才队伍建设改革的实施意见》精神，制定了《经济管理学院加强师德师风建设的实施细则》等系列文件， 实施师德师风负面处理机制，规范教师履职履责行为，在导师队伍选聘、评优评先等方面，将师德表现作为首要条件，对师德师风问题实行一票否决。</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强化考核监督，严格把关师德师风，通过公开投诉电话和设立投诉信箱，接受对教师师德师风的投诉，加强对教师的言行监管。本学位点通过开展教育教学思想大讨论、教师岗前培训、入职宣誓仪式、签订师德承诺书等多种形式，推动教师以学习养正气、行动立师德。</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开展主题教育活动，通过组织教师集中学习《中华人民共和国教师法》《新时代高校教师职业行为十项准则》等文件，强化教师的思想政治教育和师德师</w:t>
      </w:r>
      <w:proofErr w:type="gramStart"/>
      <w:r>
        <w:rPr>
          <w:rFonts w:ascii="宋体" w:eastAsia="宋体" w:hAnsi="宋体" w:cs="宋体" w:hint="eastAsia"/>
          <w:spacing w:val="-7"/>
          <w:sz w:val="28"/>
          <w:szCs w:val="28"/>
        </w:rPr>
        <w:t>风学习</w:t>
      </w:r>
      <w:proofErr w:type="gramEnd"/>
      <w:r>
        <w:rPr>
          <w:rFonts w:ascii="宋体" w:eastAsia="宋体" w:hAnsi="宋体" w:cs="宋体" w:hint="eastAsia"/>
          <w:spacing w:val="-7"/>
          <w:sz w:val="28"/>
          <w:szCs w:val="28"/>
        </w:rPr>
        <w:t>教育。通过观看全国优秀教师代表的宣讲视频，激励教师学习榜样，引导广大教师自觉地养师德、树师表、</w:t>
      </w:r>
      <w:proofErr w:type="gramStart"/>
      <w:r>
        <w:rPr>
          <w:rFonts w:ascii="宋体" w:eastAsia="宋体" w:hAnsi="宋体" w:cs="宋体" w:hint="eastAsia"/>
          <w:spacing w:val="-7"/>
          <w:sz w:val="28"/>
          <w:szCs w:val="28"/>
        </w:rPr>
        <w:t>练师能</w:t>
      </w:r>
      <w:proofErr w:type="gramEnd"/>
      <w:r>
        <w:rPr>
          <w:rFonts w:ascii="宋体" w:eastAsia="宋体" w:hAnsi="宋体" w:cs="宋体" w:hint="eastAsia"/>
          <w:spacing w:val="-7"/>
          <w:sz w:val="28"/>
          <w:szCs w:val="28"/>
        </w:rPr>
        <w:t>、铸师魂。定期召开师德师风警示教育大会，通报违反师德师风的典型 案例，引导教师引以为戒，强化纪律意</w:t>
      </w:r>
      <w:r>
        <w:rPr>
          <w:rFonts w:ascii="宋体" w:eastAsia="宋体" w:hAnsi="宋体" w:cs="宋体" w:hint="eastAsia"/>
          <w:spacing w:val="-7"/>
          <w:sz w:val="28"/>
          <w:szCs w:val="28"/>
        </w:rPr>
        <w:lastRenderedPageBreak/>
        <w:t>识。</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（四）学术训练与学术交流</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根据学校文件规定定期组织研究生参加南昌航空大学研究生学术论坛，要求硕士生在学制内必须至少参加10次学术活动。听取和做学术报告后须撰写不少于1篇学术总结报告，由导师给出考查结论并记录成绩，该成绩在申请答辩前须提交答辩委员会。每年举办研究生学术讲座、经纬大讲堂等学术活动，取得了良好的效果。鼓励和支持研究生参加正大杯全国大学生市场调查与分析大赛（研究生）、中国研究生企业管理创新大赛、江西省研究生数学建模大赛等学科竞赛。积极组织研究生申请研究生创新专项项目、省级青马工程项目。2023年共投入35万元支持研究生学术活动。承办了中国机械工程学会工业工程分会年会暨第二十七届工业工程与工程管理国际学术会议第十二届工业工程企业应用与实践高峰论坛，主办了电子商务专业高质量发展学术研讨会，承办了江西省管理学年会及案例分析大赛以及学校第四届校友发展论坛等，在学术、行业界的声誉进一步彰显。</w:t>
      </w:r>
      <w:r w:rsidR="00811472">
        <w:rPr>
          <w:rFonts w:ascii="宋体" w:eastAsia="宋体" w:hAnsi="宋体" w:cs="宋体" w:hint="eastAsia"/>
          <w:spacing w:val="-7"/>
          <w:sz w:val="28"/>
          <w:szCs w:val="28"/>
        </w:rPr>
        <w:t>厚</w:t>
      </w:r>
      <w:proofErr w:type="gramStart"/>
      <w:r>
        <w:rPr>
          <w:rFonts w:ascii="宋体" w:eastAsia="宋体" w:hAnsi="宋体" w:cs="宋体" w:hint="eastAsia"/>
          <w:spacing w:val="-7"/>
          <w:sz w:val="28"/>
          <w:szCs w:val="28"/>
        </w:rPr>
        <w:t>植学术</w:t>
      </w:r>
      <w:proofErr w:type="gramEnd"/>
      <w:r>
        <w:rPr>
          <w:rFonts w:ascii="宋体" w:eastAsia="宋体" w:hAnsi="宋体" w:cs="宋体" w:hint="eastAsia"/>
          <w:spacing w:val="-7"/>
          <w:sz w:val="28"/>
          <w:szCs w:val="28"/>
        </w:rPr>
        <w:t>底蕴，每半月邀请1位校外知名专家来学院讲学，增强广大师生的学术共同体意识。</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（五）研究生奖助</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为提高研究生培养质量，促进研究生的科研积极性，通过奖助学金制度激励措施吸引了大批国内优秀学生，并已建立了完善的研究生奖助学金体系，有国家奖学金、国家助学金、江西省政府研究生奖学金、研究生学业奖学金、优秀学生奖学金，在国家级、省级、校级层面都有对应的资助，覆盖全面，资助</w:t>
      </w:r>
      <w:r>
        <w:rPr>
          <w:rFonts w:ascii="宋体" w:eastAsia="宋体" w:hAnsi="宋体" w:cs="宋体" w:hint="eastAsia"/>
          <w:spacing w:val="-7"/>
          <w:sz w:val="28"/>
          <w:szCs w:val="28"/>
        </w:rPr>
        <w:lastRenderedPageBreak/>
        <w:t>总额 300多万，学生受益面广。</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设置“三助</w:t>
      </w:r>
      <w:proofErr w:type="gramStart"/>
      <w:r>
        <w:rPr>
          <w:rFonts w:ascii="宋体" w:eastAsia="宋体" w:hAnsi="宋体" w:cs="宋体" w:hint="eastAsia"/>
          <w:spacing w:val="-7"/>
          <w:sz w:val="28"/>
          <w:szCs w:val="28"/>
        </w:rPr>
        <w:t>一</w:t>
      </w:r>
      <w:proofErr w:type="gramEnd"/>
      <w:r>
        <w:rPr>
          <w:rFonts w:ascii="宋体" w:eastAsia="宋体" w:hAnsi="宋体" w:cs="宋体" w:hint="eastAsia"/>
          <w:spacing w:val="-7"/>
          <w:sz w:val="28"/>
          <w:szCs w:val="28"/>
        </w:rPr>
        <w:t>辅”（助管、助教、助研、兼职辅导员）岗位，为学生提供工作补贴，保证研究生在校期间的学习和生活，4000-8000元/年/生，名额根据申请人数动态调整</w:t>
      </w:r>
      <w:r w:rsidR="00466179">
        <w:rPr>
          <w:rFonts w:ascii="宋体" w:eastAsia="宋体" w:hAnsi="宋体" w:cs="宋体" w:hint="eastAsia"/>
          <w:spacing w:val="-7"/>
          <w:sz w:val="28"/>
          <w:szCs w:val="28"/>
        </w:rPr>
        <w:t>。</w:t>
      </w:r>
    </w:p>
    <w:p w:rsidR="00DD4869" w:rsidRDefault="00000000">
      <w:pPr>
        <w:numPr>
          <w:ilvl w:val="0"/>
          <w:numId w:val="1"/>
        </w:numPr>
        <w:spacing w:line="360" w:lineRule="auto"/>
        <w:ind w:firstLineChars="200" w:firstLine="640"/>
        <w:textAlignment w:val="baseline"/>
        <w:rPr>
          <w:rStyle w:val="NormalCharacter"/>
          <w:rFonts w:ascii="黑体" w:eastAsia="黑体" w:hAnsi="黑体" w:cs="黑体" w:hint="eastAsia"/>
          <w:szCs w:val="32"/>
        </w:rPr>
      </w:pPr>
      <w:r>
        <w:rPr>
          <w:rStyle w:val="NormalCharacter"/>
          <w:rFonts w:ascii="黑体" w:eastAsia="黑体" w:hAnsi="黑体" w:cs="黑体" w:hint="eastAsia"/>
          <w:szCs w:val="32"/>
        </w:rPr>
        <w:t>研究生教育改革情况</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（一）人才培养</w:t>
      </w:r>
    </w:p>
    <w:p w:rsidR="00DD4869" w:rsidRDefault="00000000">
      <w:pPr>
        <w:spacing w:line="360" w:lineRule="auto"/>
        <w:ind w:left="11" w:right="107" w:firstLine="562"/>
        <w:rPr>
          <w:rFonts w:ascii="宋体" w:eastAsia="宋体" w:hAnsi="宋体" w:cs="宋体" w:hint="eastAsia"/>
          <w:spacing w:val="-7"/>
          <w:sz w:val="28"/>
          <w:szCs w:val="28"/>
        </w:rPr>
      </w:pPr>
      <w:bookmarkStart w:id="1" w:name="bookmark36"/>
      <w:bookmarkStart w:id="2" w:name="bookmark35"/>
      <w:bookmarkEnd w:id="1"/>
      <w:bookmarkEnd w:id="2"/>
      <w:r>
        <w:rPr>
          <w:rFonts w:ascii="宋体" w:eastAsia="宋体" w:hAnsi="宋体" w:cs="宋体" w:hint="eastAsia"/>
          <w:spacing w:val="-7"/>
          <w:sz w:val="28"/>
          <w:szCs w:val="28"/>
        </w:rPr>
        <w:t>严把论文选题和开题工作，从源头把控研究生论文质量。2023年学位点35人通过盲审，35人顺利</w:t>
      </w:r>
      <w:r>
        <w:rPr>
          <w:rFonts w:ascii="宋体" w:eastAsia="宋体" w:hAnsi="宋体" w:cs="宋体" w:hint="eastAsia"/>
          <w:spacing w:val="-1"/>
          <w:sz w:val="28"/>
          <w:szCs w:val="28"/>
        </w:rPr>
        <w:t>毕业。获得了江西省管理案例分析大赛研究生组一等奖1项，全省合计3项；获得了江西省管理学会2023年年会平行论坛学术论文特等奖1项，全省合计2项，获奖数量居全省高校第2。江家辉同学获中国大学生自强之星，吴瑞同学获江西省最美大学生。本学位点的教学及实验场所面积达2400平米；拥有管理思想、系统工程、航空产业等原版外文和中文图书期刊8000多册；计算机420余台，安装了ArcGIS、MATLAB、Python等学习软件，仪器设备总值达900余万元。教学设施和软件计算平台先进、数量充足，能充分满足教学、课程实验、模拟仿真等需求。各个实验室均接入学校信息中心，可进行大规模的计量模拟和资料查询。学位</w:t>
      </w:r>
      <w:proofErr w:type="gramStart"/>
      <w:r>
        <w:rPr>
          <w:rFonts w:ascii="宋体" w:eastAsia="宋体" w:hAnsi="宋体" w:cs="宋体" w:hint="eastAsia"/>
          <w:spacing w:val="-1"/>
          <w:sz w:val="28"/>
          <w:szCs w:val="28"/>
        </w:rPr>
        <w:t>点先后</w:t>
      </w:r>
      <w:proofErr w:type="gramEnd"/>
      <w:r>
        <w:rPr>
          <w:rFonts w:ascii="宋体" w:eastAsia="宋体" w:hAnsi="宋体" w:cs="宋体" w:hint="eastAsia"/>
          <w:spacing w:val="-1"/>
          <w:sz w:val="28"/>
          <w:szCs w:val="28"/>
        </w:rPr>
        <w:t>与中航工业集</w:t>
      </w:r>
      <w:r>
        <w:rPr>
          <w:rFonts w:ascii="宋体" w:eastAsia="宋体" w:hAnsi="宋体" w:cs="宋体" w:hint="eastAsia"/>
          <w:spacing w:val="-7"/>
          <w:sz w:val="28"/>
          <w:szCs w:val="28"/>
        </w:rPr>
        <w:t>团贵州天义电梯成套设备有限公司、江铃汽车股份有限公司、江西航天红源农业科技有限公司、数字江西有限责任公司等单位共建了20余个研究生实践基地，为合作对象提供了长期科技咨询服务，一批成果得到应用。</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lastRenderedPageBreak/>
        <w:t>（二）教师队伍建设</w:t>
      </w:r>
    </w:p>
    <w:p w:rsidR="00DD4869" w:rsidRDefault="00000000">
      <w:pPr>
        <w:spacing w:line="360" w:lineRule="auto"/>
        <w:ind w:left="11" w:right="107" w:firstLine="562"/>
        <w:rPr>
          <w:rFonts w:ascii="宋体" w:eastAsia="宋体" w:hAnsi="宋体" w:cs="宋体" w:hint="eastAsia"/>
          <w:spacing w:val="-7"/>
          <w:sz w:val="28"/>
          <w:szCs w:val="28"/>
        </w:rPr>
      </w:pPr>
      <w:bookmarkStart w:id="3" w:name="bookmark37"/>
      <w:bookmarkStart w:id="4" w:name="bookmark38"/>
      <w:bookmarkEnd w:id="3"/>
      <w:bookmarkEnd w:id="4"/>
      <w:r>
        <w:rPr>
          <w:rFonts w:ascii="宋体" w:eastAsia="宋体" w:hAnsi="宋体" w:cs="宋体" w:hint="eastAsia"/>
          <w:spacing w:val="-7"/>
          <w:sz w:val="28"/>
          <w:szCs w:val="28"/>
        </w:rPr>
        <w:t>学院出台《经济管理学院师德师风建设工作实施细则》全方位支持老师教学科研育人能力的提升。1人受学校委派圆满结束在省科技厅的挂职任务，2名教师当选第十三届省政协委员，1人作了大会发言，1人提案获省政协优秀提案。获省赣</w:t>
      </w:r>
      <w:proofErr w:type="gramStart"/>
      <w:r>
        <w:rPr>
          <w:rFonts w:ascii="宋体" w:eastAsia="宋体" w:hAnsi="宋体" w:cs="宋体" w:hint="eastAsia"/>
          <w:spacing w:val="-7"/>
          <w:sz w:val="28"/>
          <w:szCs w:val="28"/>
        </w:rPr>
        <w:t>鄱</w:t>
      </w:r>
      <w:proofErr w:type="gramEnd"/>
      <w:r>
        <w:rPr>
          <w:rFonts w:ascii="宋体" w:eastAsia="宋体" w:hAnsi="宋体" w:cs="宋体" w:hint="eastAsia"/>
          <w:spacing w:val="-7"/>
          <w:sz w:val="28"/>
          <w:szCs w:val="28"/>
        </w:rPr>
        <w:t>俊才支持计划文化领军人才1人；省青年志愿服务优秀志愿者1人；1名教师入选学校“最美教师”。</w:t>
      </w:r>
    </w:p>
    <w:p w:rsidR="00DD4869" w:rsidRDefault="00434EFE">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（三）科学研究</w:t>
      </w:r>
    </w:p>
    <w:p w:rsidR="00DD4869" w:rsidRDefault="00000000">
      <w:pPr>
        <w:spacing w:line="360" w:lineRule="auto"/>
        <w:ind w:left="11" w:right="107" w:firstLine="562"/>
        <w:rPr>
          <w:rFonts w:ascii="宋体" w:eastAsia="宋体" w:hAnsi="宋体" w:cs="宋体" w:hint="eastAsia"/>
          <w:spacing w:val="-7"/>
          <w:sz w:val="28"/>
          <w:szCs w:val="28"/>
        </w:rPr>
      </w:pPr>
      <w:bookmarkStart w:id="5" w:name="bookmark40"/>
      <w:bookmarkStart w:id="6" w:name="bookmark39"/>
      <w:bookmarkEnd w:id="5"/>
      <w:bookmarkEnd w:id="6"/>
      <w:r>
        <w:rPr>
          <w:rFonts w:ascii="宋体" w:eastAsia="宋体" w:hAnsi="宋体" w:cs="宋体" w:hint="eastAsia"/>
          <w:spacing w:val="-7"/>
          <w:sz w:val="28"/>
          <w:szCs w:val="28"/>
        </w:rPr>
        <w:t>立项国家自</w:t>
      </w:r>
      <w:proofErr w:type="gramStart"/>
      <w:r>
        <w:rPr>
          <w:rFonts w:ascii="宋体" w:eastAsia="宋体" w:hAnsi="宋体" w:cs="宋体" w:hint="eastAsia"/>
          <w:spacing w:val="-7"/>
          <w:sz w:val="28"/>
          <w:szCs w:val="28"/>
        </w:rPr>
        <w:t>科基金</w:t>
      </w:r>
      <w:proofErr w:type="gramEnd"/>
      <w:r>
        <w:rPr>
          <w:rFonts w:ascii="宋体" w:eastAsia="宋体" w:hAnsi="宋体" w:cs="宋体" w:hint="eastAsia"/>
          <w:spacing w:val="-7"/>
          <w:sz w:val="28"/>
          <w:szCs w:val="28"/>
        </w:rPr>
        <w:t>和国家社科基金5项，在省属4个工科院校经管学院中排名第一，荣获2023年度学校国家社会科学基金科研管理贡献奖。省级科研项目13项，纵向科研经费达到200余万元，横向科研经费达到100余万元。获省社会科学优秀成果奖3项，其中一等奖1项，为学校时隔十年再次斩获一等奖。在SCI/SSCI/CSSCI/CSCD/北大中文核心等期刊发表学术论文63篇，出版学术专著9部，在《江西日报》刊登了理论文章1篇。</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（四）传承创新优秀文化</w:t>
      </w:r>
    </w:p>
    <w:p w:rsidR="00DD4869" w:rsidRDefault="00000000" w:rsidP="005A648E">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t>全面提升学科凝聚力和影响力。通过各种渠道全面梳理了学科发展历史，不断总结、凝练学科特点并创新文化特色，形成学科发展史，同时设计打造学科文化品牌产品，并充分利用媒体平台，积极宣传，不断扩大影响力和号召力，助推一流学科建设，同时立足基本学科本色，加强校企合作交流，建立教师、校友、企业捐赠信息融入文化建设机制，有力提升了师生归属感、荣誉感和获得感，进一步激发奋斗热情。</w:t>
      </w:r>
    </w:p>
    <w:p w:rsidR="00DD4869" w:rsidRDefault="00000000">
      <w:pPr>
        <w:spacing w:line="360" w:lineRule="auto"/>
        <w:ind w:left="11" w:right="107" w:firstLine="562"/>
        <w:rPr>
          <w:rFonts w:ascii="宋体" w:eastAsia="宋体" w:hAnsi="宋体" w:cs="宋体" w:hint="eastAsia"/>
          <w:spacing w:val="-7"/>
          <w:sz w:val="28"/>
          <w:szCs w:val="28"/>
        </w:rPr>
      </w:pPr>
      <w:r>
        <w:rPr>
          <w:rFonts w:ascii="宋体" w:eastAsia="宋体" w:hAnsi="宋体" w:cs="宋体" w:hint="eastAsia"/>
          <w:spacing w:val="-7"/>
          <w:sz w:val="28"/>
          <w:szCs w:val="28"/>
        </w:rPr>
        <w:lastRenderedPageBreak/>
        <w:t>（五）国际合作交流</w:t>
      </w:r>
    </w:p>
    <w:p w:rsidR="00DD4869" w:rsidRDefault="00000000">
      <w:pPr>
        <w:spacing w:line="360" w:lineRule="auto"/>
        <w:ind w:left="11" w:right="107" w:firstLine="562"/>
        <w:rPr>
          <w:rFonts w:ascii="宋体" w:eastAsia="宋体" w:hAnsi="宋体" w:cs="宋体" w:hint="eastAsia"/>
          <w:spacing w:val="-2"/>
          <w:sz w:val="28"/>
          <w:szCs w:val="28"/>
        </w:rPr>
      </w:pPr>
      <w:r>
        <w:rPr>
          <w:rFonts w:ascii="宋体" w:eastAsia="宋体" w:hAnsi="宋体" w:cs="宋体" w:hint="eastAsia"/>
          <w:spacing w:val="-7"/>
          <w:sz w:val="28"/>
          <w:szCs w:val="28"/>
        </w:rPr>
        <w:t>积极探索国际化研究生培养模式，通过国际项目合作、国家留学 基金委等资助，鼓励导师和研究生攻读博士学位；鼓励研究生导师赴海外进行学术交流</w:t>
      </w:r>
      <w:r w:rsidRPr="007A13C3">
        <w:rPr>
          <w:rFonts w:ascii="宋体" w:eastAsia="宋体" w:hAnsi="宋体" w:cs="宋体" w:hint="eastAsia"/>
          <w:spacing w:val="-7"/>
          <w:sz w:val="28"/>
          <w:szCs w:val="28"/>
        </w:rPr>
        <w:t>和</w:t>
      </w:r>
      <w:r w:rsidR="004B602E" w:rsidRPr="007A13C3">
        <w:rPr>
          <w:rFonts w:ascii="宋体" w:eastAsia="宋体" w:hAnsi="宋体" w:cs="宋体" w:hint="eastAsia"/>
          <w:spacing w:val="-7"/>
          <w:sz w:val="28"/>
          <w:szCs w:val="28"/>
        </w:rPr>
        <w:t>留</w:t>
      </w:r>
      <w:r w:rsidRPr="007A13C3">
        <w:rPr>
          <w:rFonts w:ascii="宋体" w:eastAsia="宋体" w:hAnsi="宋体" w:cs="宋体" w:hint="eastAsia"/>
          <w:spacing w:val="-7"/>
          <w:sz w:val="28"/>
          <w:szCs w:val="28"/>
        </w:rPr>
        <w:t>学。继续</w:t>
      </w:r>
      <w:r>
        <w:rPr>
          <w:rFonts w:ascii="宋体" w:eastAsia="宋体" w:hAnsi="宋体" w:cs="宋体" w:hint="eastAsia"/>
          <w:spacing w:val="-7"/>
          <w:sz w:val="28"/>
          <w:szCs w:val="28"/>
        </w:rPr>
        <w:t>推进办学国际化，积极打造双语课程与全英文课程。2023年，邀请了5名海内外知名学者，通过线上线下的形式成功在中国机械工程学会工业工程分会年会暨第二十七届工业工程与工程管理国际学术会议第十二届工业工程企业应用与实践高峰论坛上</w:t>
      </w:r>
      <w:proofErr w:type="gramStart"/>
      <w:r>
        <w:rPr>
          <w:rFonts w:ascii="宋体" w:eastAsia="宋体" w:hAnsi="宋体" w:cs="宋体" w:hint="eastAsia"/>
          <w:spacing w:val="-7"/>
          <w:sz w:val="28"/>
          <w:szCs w:val="28"/>
        </w:rPr>
        <w:t>作主</w:t>
      </w:r>
      <w:proofErr w:type="gramEnd"/>
      <w:r>
        <w:rPr>
          <w:rFonts w:ascii="宋体" w:eastAsia="宋体" w:hAnsi="宋体" w:cs="宋体" w:hint="eastAsia"/>
          <w:spacing w:val="-7"/>
          <w:sz w:val="28"/>
          <w:szCs w:val="28"/>
        </w:rPr>
        <w:t>旨演讲。主办了电子商务专业高质量发展学术研讨会，承办了江西省管理学年会及案例分析大赛以及学校第四届校友发展论坛等。</w:t>
      </w:r>
    </w:p>
    <w:p w:rsidR="00DD4869" w:rsidRPr="008A35BA" w:rsidRDefault="00000000">
      <w:pPr>
        <w:snapToGrid w:val="0"/>
        <w:spacing w:line="360" w:lineRule="auto"/>
        <w:ind w:firstLineChars="200" w:firstLine="640"/>
        <w:textAlignment w:val="baseline"/>
        <w:rPr>
          <w:rStyle w:val="NormalCharacter"/>
          <w:rFonts w:ascii="黑体" w:eastAsia="黑体" w:hAnsi="黑体" w:cs="宋体" w:hint="eastAsia"/>
          <w:bCs/>
          <w:szCs w:val="32"/>
        </w:rPr>
      </w:pPr>
      <w:r w:rsidRPr="008A35BA">
        <w:rPr>
          <w:rStyle w:val="NormalCharacter"/>
          <w:rFonts w:ascii="黑体" w:eastAsia="黑体" w:hAnsi="黑体" w:cs="宋体" w:hint="eastAsia"/>
          <w:bCs/>
          <w:szCs w:val="32"/>
        </w:rPr>
        <w:t>五、教育质量评估与分析</w:t>
      </w:r>
    </w:p>
    <w:p w:rsidR="00DD4869" w:rsidRDefault="00000000">
      <w:pPr>
        <w:spacing w:line="360" w:lineRule="auto"/>
        <w:ind w:left="11" w:right="108" w:firstLine="561"/>
        <w:rPr>
          <w:rFonts w:ascii="宋体" w:eastAsia="宋体" w:hAnsi="宋体" w:cs="宋体" w:hint="eastAsia"/>
          <w:spacing w:val="-7"/>
          <w:sz w:val="28"/>
          <w:szCs w:val="28"/>
        </w:rPr>
      </w:pPr>
      <w:r>
        <w:rPr>
          <w:rFonts w:ascii="宋体" w:eastAsia="宋体" w:hAnsi="宋体" w:cs="宋体" w:hint="eastAsia"/>
          <w:spacing w:val="-7"/>
          <w:sz w:val="28"/>
          <w:szCs w:val="28"/>
        </w:rPr>
        <w:t>（一）学科自我评估进展及分析</w:t>
      </w:r>
    </w:p>
    <w:p w:rsidR="00DD4869" w:rsidRDefault="00000000">
      <w:pPr>
        <w:spacing w:line="360" w:lineRule="auto"/>
        <w:ind w:left="11" w:right="108" w:firstLine="561"/>
        <w:rPr>
          <w:rFonts w:ascii="宋体" w:eastAsia="宋体" w:hAnsi="宋体" w:cs="宋体" w:hint="eastAsia"/>
          <w:spacing w:val="-7"/>
          <w:sz w:val="28"/>
          <w:szCs w:val="28"/>
        </w:rPr>
      </w:pPr>
      <w:r>
        <w:rPr>
          <w:rFonts w:ascii="宋体" w:eastAsia="宋体" w:hAnsi="宋体" w:cs="宋体" w:hint="eastAsia"/>
          <w:spacing w:val="-7"/>
          <w:sz w:val="28"/>
          <w:szCs w:val="28"/>
        </w:rPr>
        <w:t>近年来本学科整体实力在不断提升，学科建设稳步推进、学科管理逐渐规范。但是同省内外兄弟高校相比仍存在着较大差距，具体表现在师资水平不高，国家级教学名师、团队欠缺，一流“金课”少，实验教学平台资金投入低、国际化建设水平低等。尤其在高层次人才数量，国家级平台建设，横向课题以及社会服务能力上还比较落后。</w:t>
      </w:r>
    </w:p>
    <w:p w:rsidR="00DD4869" w:rsidRDefault="00000000">
      <w:pPr>
        <w:spacing w:line="360" w:lineRule="auto"/>
        <w:ind w:left="11" w:right="108" w:firstLine="561"/>
        <w:rPr>
          <w:rFonts w:ascii="宋体" w:eastAsia="宋体" w:hAnsi="宋体" w:cs="宋体" w:hint="eastAsia"/>
          <w:spacing w:val="-7"/>
          <w:sz w:val="28"/>
          <w:szCs w:val="28"/>
        </w:rPr>
      </w:pPr>
      <w:bookmarkStart w:id="7" w:name="bookmark47"/>
      <w:bookmarkStart w:id="8" w:name="bookmark48"/>
      <w:bookmarkEnd w:id="7"/>
      <w:bookmarkEnd w:id="8"/>
      <w:r>
        <w:rPr>
          <w:rFonts w:ascii="宋体" w:eastAsia="宋体" w:hAnsi="宋体" w:cs="宋体" w:hint="eastAsia"/>
          <w:spacing w:val="-7"/>
          <w:sz w:val="28"/>
          <w:szCs w:val="28"/>
        </w:rPr>
        <w:t>（二）学位论文抽检、</w:t>
      </w:r>
      <w:proofErr w:type="gramStart"/>
      <w:r>
        <w:rPr>
          <w:rFonts w:ascii="宋体" w:eastAsia="宋体" w:hAnsi="宋体" w:cs="宋体" w:hint="eastAsia"/>
          <w:spacing w:val="-7"/>
          <w:sz w:val="28"/>
          <w:szCs w:val="28"/>
        </w:rPr>
        <w:t>盲审情况</w:t>
      </w:r>
      <w:proofErr w:type="gramEnd"/>
    </w:p>
    <w:p w:rsidR="00DD4869" w:rsidRDefault="00000000">
      <w:pPr>
        <w:spacing w:line="360" w:lineRule="auto"/>
        <w:ind w:left="11" w:right="108" w:firstLine="561"/>
        <w:rPr>
          <w:rFonts w:ascii="宋体" w:eastAsia="宋体" w:hAnsi="宋体" w:cs="宋体" w:hint="eastAsia"/>
          <w:spacing w:val="-7"/>
          <w:sz w:val="28"/>
          <w:szCs w:val="28"/>
        </w:rPr>
      </w:pPr>
      <w:r>
        <w:rPr>
          <w:rFonts w:ascii="宋体" w:eastAsia="宋体" w:hAnsi="宋体" w:cs="宋体" w:hint="eastAsia"/>
          <w:spacing w:val="-7"/>
          <w:sz w:val="28"/>
          <w:szCs w:val="28"/>
        </w:rPr>
        <w:t>学院采取 100%</w:t>
      </w:r>
      <w:proofErr w:type="gramStart"/>
      <w:r>
        <w:rPr>
          <w:rFonts w:ascii="宋体" w:eastAsia="宋体" w:hAnsi="宋体" w:cs="宋体" w:hint="eastAsia"/>
          <w:spacing w:val="-7"/>
          <w:sz w:val="28"/>
          <w:szCs w:val="28"/>
        </w:rPr>
        <w:t>盲审制度</w:t>
      </w:r>
      <w:proofErr w:type="gramEnd"/>
      <w:r>
        <w:rPr>
          <w:rFonts w:ascii="宋体" w:eastAsia="宋体" w:hAnsi="宋体" w:cs="宋体" w:hint="eastAsia"/>
          <w:spacing w:val="-7"/>
          <w:sz w:val="28"/>
          <w:szCs w:val="28"/>
        </w:rPr>
        <w:t>，级别分为校级盲审（由研究生院送审） 和院级盲审（由学院送审），论文抽检 100%通过。</w:t>
      </w:r>
    </w:p>
    <w:p w:rsidR="00DD4869" w:rsidRPr="00277FA9" w:rsidRDefault="004567EC" w:rsidP="004567EC">
      <w:pPr>
        <w:snapToGrid w:val="0"/>
        <w:spacing w:line="360" w:lineRule="auto"/>
        <w:ind w:firstLineChars="200" w:firstLine="640"/>
        <w:textAlignment w:val="baseline"/>
        <w:rPr>
          <w:rStyle w:val="NormalCharacter"/>
          <w:rFonts w:ascii="黑体" w:eastAsia="黑体" w:hAnsi="黑体" w:cs="宋体" w:hint="eastAsia"/>
          <w:bCs/>
          <w:szCs w:val="32"/>
        </w:rPr>
      </w:pPr>
      <w:r w:rsidRPr="00277FA9">
        <w:rPr>
          <w:rStyle w:val="NormalCharacter"/>
          <w:rFonts w:ascii="黑体" w:eastAsia="黑体" w:hAnsi="黑体" w:cs="宋体" w:hint="eastAsia"/>
          <w:bCs/>
          <w:szCs w:val="32"/>
        </w:rPr>
        <w:t>六、改进措施</w:t>
      </w:r>
    </w:p>
    <w:p w:rsidR="00DD4869" w:rsidRDefault="00000000">
      <w:pPr>
        <w:spacing w:line="360" w:lineRule="auto"/>
        <w:ind w:left="11" w:right="108" w:firstLine="561"/>
        <w:rPr>
          <w:rFonts w:ascii="宋体" w:eastAsia="宋体" w:hAnsi="宋体" w:cs="宋体" w:hint="eastAsia"/>
          <w:spacing w:val="-7"/>
          <w:sz w:val="28"/>
          <w:szCs w:val="28"/>
        </w:rPr>
      </w:pPr>
      <w:bookmarkStart w:id="9" w:name="bookmark42"/>
      <w:bookmarkEnd w:id="9"/>
      <w:r>
        <w:rPr>
          <w:rFonts w:ascii="宋体" w:eastAsia="宋体" w:hAnsi="宋体" w:cs="宋体" w:hint="eastAsia"/>
          <w:spacing w:val="-7"/>
          <w:sz w:val="28"/>
          <w:szCs w:val="28"/>
        </w:rPr>
        <w:lastRenderedPageBreak/>
        <w:t>一是以创新人才培养为核心，构建高水平教育质量体系，围绕教师队 伍、一流课程、教学改革、实验平台、创新创业、国际化六个方面进行重点建设，突出科教融合和产教融合理念，打造先进的教学机制和特色鲜明的人才培养模式。</w:t>
      </w:r>
    </w:p>
    <w:p w:rsidR="00DD4869" w:rsidRDefault="00000000">
      <w:pPr>
        <w:spacing w:line="360" w:lineRule="auto"/>
        <w:ind w:left="11" w:right="108" w:firstLine="561"/>
        <w:rPr>
          <w:rFonts w:ascii="宋体" w:eastAsia="宋体" w:hAnsi="宋体" w:cs="宋体" w:hint="eastAsia"/>
          <w:spacing w:val="-7"/>
          <w:sz w:val="28"/>
          <w:szCs w:val="28"/>
        </w:rPr>
      </w:pPr>
      <w:r>
        <w:rPr>
          <w:rFonts w:ascii="宋体" w:eastAsia="宋体" w:hAnsi="宋体" w:cs="宋体" w:hint="eastAsia"/>
          <w:spacing w:val="-7"/>
          <w:sz w:val="28"/>
          <w:szCs w:val="28"/>
        </w:rPr>
        <w:t>二是坚持引进与培育并重，坚持人才梯队和团队建设。通过走出去与请进来相结合，建联系与</w:t>
      </w:r>
      <w:proofErr w:type="gramStart"/>
      <w:r>
        <w:rPr>
          <w:rFonts w:ascii="宋体" w:eastAsia="宋体" w:hAnsi="宋体" w:cs="宋体" w:hint="eastAsia"/>
          <w:spacing w:val="-7"/>
          <w:sz w:val="28"/>
          <w:szCs w:val="28"/>
        </w:rPr>
        <w:t>挖资源</w:t>
      </w:r>
      <w:proofErr w:type="gramEnd"/>
      <w:r>
        <w:rPr>
          <w:rFonts w:ascii="宋体" w:eastAsia="宋体" w:hAnsi="宋体" w:cs="宋体" w:hint="eastAsia"/>
          <w:spacing w:val="-7"/>
          <w:sz w:val="28"/>
          <w:szCs w:val="28"/>
        </w:rPr>
        <w:t>相匹配，拓展引才渠道。精准引进优秀高层次人才和年轻博士</w:t>
      </w:r>
    </w:p>
    <w:p w:rsidR="00DD4869" w:rsidRDefault="00000000">
      <w:pPr>
        <w:spacing w:line="360" w:lineRule="auto"/>
        <w:ind w:left="11" w:right="108" w:firstLine="561"/>
        <w:rPr>
          <w:rFonts w:ascii="宋体" w:eastAsia="宋体" w:hAnsi="宋体" w:cs="宋体" w:hint="eastAsia"/>
          <w:spacing w:val="-7"/>
          <w:sz w:val="28"/>
          <w:szCs w:val="28"/>
        </w:rPr>
      </w:pPr>
      <w:r>
        <w:rPr>
          <w:rFonts w:ascii="宋体" w:eastAsia="宋体" w:hAnsi="宋体" w:cs="宋体" w:hint="eastAsia"/>
          <w:spacing w:val="-7"/>
          <w:sz w:val="28"/>
          <w:szCs w:val="28"/>
        </w:rPr>
        <w:t>三是立足于国家需求和科学前沿， 结合学科现有特色和优势，深挖有特色代表性的研究方向，拟设立1个重点发展方向，并促进与相关学科的交叉融合。</w:t>
      </w:r>
    </w:p>
    <w:p w:rsidR="00DD4869" w:rsidRDefault="00000000">
      <w:pPr>
        <w:spacing w:line="360" w:lineRule="auto"/>
        <w:ind w:left="11" w:right="108" w:firstLine="561"/>
        <w:rPr>
          <w:rFonts w:ascii="宋体" w:eastAsia="宋体" w:hAnsi="宋体" w:cs="宋体" w:hint="eastAsia"/>
          <w:spacing w:val="-7"/>
          <w:sz w:val="28"/>
          <w:szCs w:val="28"/>
        </w:rPr>
      </w:pPr>
      <w:r>
        <w:rPr>
          <w:rFonts w:ascii="宋体" w:eastAsia="宋体" w:hAnsi="宋体" w:cs="宋体" w:hint="eastAsia"/>
          <w:spacing w:val="-7"/>
          <w:sz w:val="28"/>
          <w:szCs w:val="28"/>
        </w:rPr>
        <w:t>四是以学院高水平教学科研平台为依托，加强联合培养和科研实践实训为突破口，共同进行项目合作，共同发表论文，提升人才培养质量，促进重大成果产出。</w:t>
      </w:r>
    </w:p>
    <w:sectPr w:rsidR="00DD4869" w:rsidSect="00C560E7">
      <w:headerReference w:type="even" r:id="rId8"/>
      <w:headerReference w:type="default" r:id="rId9"/>
      <w:footerReference w:type="even" r:id="rId10"/>
      <w:footerReference w:type="default" r:id="rId11"/>
      <w:headerReference w:type="first" r:id="rId12"/>
      <w:footerReference w:type="first" r:id="rId13"/>
      <w:pgSz w:w="11906" w:h="16838"/>
      <w:pgMar w:top="2155" w:right="1435" w:bottom="1588" w:left="1435" w:header="851" w:footer="1587"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29B2" w:rsidRDefault="00D329B2">
      <w:pPr>
        <w:rPr>
          <w:rFonts w:hint="eastAsia"/>
        </w:rPr>
      </w:pPr>
      <w:r>
        <w:separator/>
      </w:r>
    </w:p>
  </w:endnote>
  <w:endnote w:type="continuationSeparator" w:id="0">
    <w:p w:rsidR="00D329B2" w:rsidRDefault="00D329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4869" w:rsidRDefault="00DD4869">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663912"/>
      <w:docPartObj>
        <w:docPartGallery w:val="Page Numbers (Bottom of Page)"/>
        <w:docPartUnique/>
      </w:docPartObj>
    </w:sdtPr>
    <w:sdtContent>
      <w:p w:rsidR="00C560E7" w:rsidRDefault="00C560E7">
        <w:pPr>
          <w:pStyle w:val="a4"/>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4869" w:rsidRDefault="00DD4869">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29B2" w:rsidRDefault="00D329B2">
      <w:pPr>
        <w:rPr>
          <w:rFonts w:hint="eastAsia"/>
        </w:rPr>
      </w:pPr>
      <w:r>
        <w:separator/>
      </w:r>
    </w:p>
  </w:footnote>
  <w:footnote w:type="continuationSeparator" w:id="0">
    <w:p w:rsidR="00D329B2" w:rsidRDefault="00D329B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4869" w:rsidRDefault="00DD4869">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60E7" w:rsidRPr="003A24AF" w:rsidRDefault="00C560E7" w:rsidP="003A24AF">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60E7" w:rsidRDefault="00C560E7">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926C"/>
    <w:multiLevelType w:val="singleLevel"/>
    <w:tmpl w:val="0502926C"/>
    <w:lvl w:ilvl="0">
      <w:start w:val="4"/>
      <w:numFmt w:val="chineseCounting"/>
      <w:suff w:val="nothing"/>
      <w:lvlText w:val="%1、"/>
      <w:lvlJc w:val="left"/>
      <w:rPr>
        <w:rFonts w:hint="eastAsia"/>
      </w:rPr>
    </w:lvl>
  </w:abstractNum>
  <w:abstractNum w:abstractNumId="1" w15:restartNumberingAfterBreak="0">
    <w:nsid w:val="694317BB"/>
    <w:multiLevelType w:val="singleLevel"/>
    <w:tmpl w:val="694317BB"/>
    <w:lvl w:ilvl="0">
      <w:start w:val="6"/>
      <w:numFmt w:val="chineseCounting"/>
      <w:suff w:val="nothing"/>
      <w:lvlText w:val="%1、"/>
      <w:lvlJc w:val="left"/>
      <w:rPr>
        <w:rFonts w:hint="eastAsia"/>
      </w:rPr>
    </w:lvl>
  </w:abstractNum>
  <w:num w:numId="1" w16cid:durableId="2012953074">
    <w:abstractNumId w:val="0"/>
  </w:num>
  <w:num w:numId="2" w16cid:durableId="112323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5A"/>
    <w:rsid w:val="000243CF"/>
    <w:rsid w:val="000359BC"/>
    <w:rsid w:val="001148F5"/>
    <w:rsid w:val="00141AD2"/>
    <w:rsid w:val="00195FB9"/>
    <w:rsid w:val="001A64FB"/>
    <w:rsid w:val="001C4A7B"/>
    <w:rsid w:val="00277FA9"/>
    <w:rsid w:val="002C0449"/>
    <w:rsid w:val="00313D7B"/>
    <w:rsid w:val="00322D77"/>
    <w:rsid w:val="00356DFB"/>
    <w:rsid w:val="003A24AF"/>
    <w:rsid w:val="003E3453"/>
    <w:rsid w:val="00434EFE"/>
    <w:rsid w:val="004567EC"/>
    <w:rsid w:val="00466179"/>
    <w:rsid w:val="004B49CA"/>
    <w:rsid w:val="004B602E"/>
    <w:rsid w:val="004E4351"/>
    <w:rsid w:val="005A648E"/>
    <w:rsid w:val="005F17D7"/>
    <w:rsid w:val="00607C5A"/>
    <w:rsid w:val="006A7567"/>
    <w:rsid w:val="007538EA"/>
    <w:rsid w:val="00775358"/>
    <w:rsid w:val="00791F14"/>
    <w:rsid w:val="007A13C3"/>
    <w:rsid w:val="007A7D2F"/>
    <w:rsid w:val="00811472"/>
    <w:rsid w:val="00895763"/>
    <w:rsid w:val="008A35BA"/>
    <w:rsid w:val="008D6B37"/>
    <w:rsid w:val="008F1A5D"/>
    <w:rsid w:val="00926DC6"/>
    <w:rsid w:val="00A01A16"/>
    <w:rsid w:val="00A4661E"/>
    <w:rsid w:val="00A878EC"/>
    <w:rsid w:val="00A94BB0"/>
    <w:rsid w:val="00AA214E"/>
    <w:rsid w:val="00AA3D92"/>
    <w:rsid w:val="00AA7DE0"/>
    <w:rsid w:val="00AF0BC3"/>
    <w:rsid w:val="00B05BC1"/>
    <w:rsid w:val="00B447E3"/>
    <w:rsid w:val="00C1007E"/>
    <w:rsid w:val="00C560E7"/>
    <w:rsid w:val="00CA7EEA"/>
    <w:rsid w:val="00CC3F2B"/>
    <w:rsid w:val="00D329B2"/>
    <w:rsid w:val="00D76DDB"/>
    <w:rsid w:val="00DD4869"/>
    <w:rsid w:val="00E03D19"/>
    <w:rsid w:val="00EF6FF3"/>
    <w:rsid w:val="00F13A24"/>
    <w:rsid w:val="00FC5753"/>
    <w:rsid w:val="01F66ABD"/>
    <w:rsid w:val="03617BD1"/>
    <w:rsid w:val="06E45A7E"/>
    <w:rsid w:val="077906E0"/>
    <w:rsid w:val="077961C6"/>
    <w:rsid w:val="08AE6343"/>
    <w:rsid w:val="0C3721AC"/>
    <w:rsid w:val="0CE51C08"/>
    <w:rsid w:val="0D102222"/>
    <w:rsid w:val="0D197B03"/>
    <w:rsid w:val="0E0E518E"/>
    <w:rsid w:val="0F5117D6"/>
    <w:rsid w:val="0FFC1742"/>
    <w:rsid w:val="10A00B00"/>
    <w:rsid w:val="117F087D"/>
    <w:rsid w:val="120211F9"/>
    <w:rsid w:val="124949E7"/>
    <w:rsid w:val="13C702B9"/>
    <w:rsid w:val="142B6A9A"/>
    <w:rsid w:val="15535E8C"/>
    <w:rsid w:val="1663076D"/>
    <w:rsid w:val="18932E60"/>
    <w:rsid w:val="19EC6CCB"/>
    <w:rsid w:val="1A9D7FC6"/>
    <w:rsid w:val="1B1F6C2C"/>
    <w:rsid w:val="1D5030CD"/>
    <w:rsid w:val="1DAF6046"/>
    <w:rsid w:val="1E075E82"/>
    <w:rsid w:val="20266765"/>
    <w:rsid w:val="21A47E8B"/>
    <w:rsid w:val="23E9602A"/>
    <w:rsid w:val="24633A9B"/>
    <w:rsid w:val="255676EF"/>
    <w:rsid w:val="25657932"/>
    <w:rsid w:val="26A06E73"/>
    <w:rsid w:val="26C97FF4"/>
    <w:rsid w:val="26E825C8"/>
    <w:rsid w:val="27046476"/>
    <w:rsid w:val="27DA0163"/>
    <w:rsid w:val="29C04211"/>
    <w:rsid w:val="2A9B6CD2"/>
    <w:rsid w:val="2AFE373B"/>
    <w:rsid w:val="2B091169"/>
    <w:rsid w:val="2BAF1907"/>
    <w:rsid w:val="2BE53B35"/>
    <w:rsid w:val="2CD258AD"/>
    <w:rsid w:val="2CE910DE"/>
    <w:rsid w:val="2DCE2518"/>
    <w:rsid w:val="2EB55486"/>
    <w:rsid w:val="2FB96C5A"/>
    <w:rsid w:val="31341444"/>
    <w:rsid w:val="32B86286"/>
    <w:rsid w:val="34ED239C"/>
    <w:rsid w:val="36CE3589"/>
    <w:rsid w:val="37F76B0F"/>
    <w:rsid w:val="38E373C4"/>
    <w:rsid w:val="39C81415"/>
    <w:rsid w:val="3E6D50A6"/>
    <w:rsid w:val="3E9B0D95"/>
    <w:rsid w:val="3FCA1E8A"/>
    <w:rsid w:val="42982C9D"/>
    <w:rsid w:val="430A1DED"/>
    <w:rsid w:val="43284021"/>
    <w:rsid w:val="43741014"/>
    <w:rsid w:val="44354C47"/>
    <w:rsid w:val="44AB315B"/>
    <w:rsid w:val="44AD6DEF"/>
    <w:rsid w:val="457C4AF8"/>
    <w:rsid w:val="45CB480C"/>
    <w:rsid w:val="45EE1AFF"/>
    <w:rsid w:val="466C2476"/>
    <w:rsid w:val="4D7A78E7"/>
    <w:rsid w:val="4EC533B4"/>
    <w:rsid w:val="4F4F48BB"/>
    <w:rsid w:val="4F910949"/>
    <w:rsid w:val="51B45471"/>
    <w:rsid w:val="51B82A14"/>
    <w:rsid w:val="52154A76"/>
    <w:rsid w:val="52B96A43"/>
    <w:rsid w:val="5597091E"/>
    <w:rsid w:val="561346BC"/>
    <w:rsid w:val="58A27717"/>
    <w:rsid w:val="5B2B24A8"/>
    <w:rsid w:val="5FC91698"/>
    <w:rsid w:val="639F1A4E"/>
    <w:rsid w:val="64F04B95"/>
    <w:rsid w:val="658B0B4D"/>
    <w:rsid w:val="69A24425"/>
    <w:rsid w:val="6A1A3E14"/>
    <w:rsid w:val="6B797260"/>
    <w:rsid w:val="6CE17D59"/>
    <w:rsid w:val="6CEE7853"/>
    <w:rsid w:val="6E2A4841"/>
    <w:rsid w:val="6F375468"/>
    <w:rsid w:val="6F5033A9"/>
    <w:rsid w:val="710B44B6"/>
    <w:rsid w:val="732B52E4"/>
    <w:rsid w:val="73836ECE"/>
    <w:rsid w:val="764A2C11"/>
    <w:rsid w:val="76593F16"/>
    <w:rsid w:val="772938E8"/>
    <w:rsid w:val="79517126"/>
    <w:rsid w:val="7AC8166A"/>
    <w:rsid w:val="7C741C86"/>
    <w:rsid w:val="7E7502E4"/>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DEF09"/>
  <w15:docId w15:val="{A514875F-A764-4161-9A1C-D18173AE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rFonts w:ascii="Calibri" w:eastAsia="宋体" w:hAnsi="Calibri" w:cs="Times New Roman"/>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Normal (Web)"/>
    <w:basedOn w:val="a"/>
    <w:qFormat/>
    <w:pPr>
      <w:spacing w:beforeAutospacing="1" w:afterAutospacing="1"/>
      <w:jc w:val="left"/>
    </w:pPr>
    <w:rPr>
      <w:rFonts w:eastAsia="方正仿宋简体" w:cs="Times New Roman"/>
      <w:kern w:val="0"/>
      <w:sz w:val="24"/>
      <w:szCs w:val="24"/>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jc w:val="center"/>
    </w:pPr>
    <w:rPr>
      <w:i/>
      <w:iCs/>
      <w:color w:val="404040" w:themeColor="text1" w:themeTint="BF"/>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5">
    <w:name w:val="页脚 字符"/>
    <w:basedOn w:val="a0"/>
    <w:link w:val="a4"/>
    <w:uiPriority w:val="99"/>
    <w:qFormat/>
    <w:rPr>
      <w:sz w:val="18"/>
      <w:szCs w:val="18"/>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 w:val="32"/>
      <w:szCs w:val="32"/>
    </w:rPr>
  </w:style>
  <w:style w:type="character" w:customStyle="1" w:styleId="a7">
    <w:name w:val="页眉 字符"/>
    <w:basedOn w:val="a0"/>
    <w:link w:val="a6"/>
    <w:uiPriority w:val="99"/>
    <w:qFormat/>
    <w:rPr>
      <w:sz w:val="18"/>
      <w:szCs w:val="18"/>
    </w:rPr>
  </w:style>
  <w:style w:type="table" w:styleId="af2">
    <w:name w:val="Table Grid"/>
    <w:basedOn w:val="a1"/>
    <w:qFormat/>
    <w:rsid w:val="00A94BB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A94BB0"/>
    <w:pPr>
      <w:ind w:leftChars="2500" w:left="100"/>
    </w:pPr>
  </w:style>
  <w:style w:type="character" w:customStyle="1" w:styleId="af4">
    <w:name w:val="日期 字符"/>
    <w:basedOn w:val="a0"/>
    <w:link w:val="af3"/>
    <w:uiPriority w:val="99"/>
    <w:semiHidden/>
    <w:rsid w:val="00A94B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梦娜 鲍</dc:creator>
  <cp:lastModifiedBy>梦娜 鲍</cp:lastModifiedBy>
  <cp:revision>22</cp:revision>
  <dcterms:created xsi:type="dcterms:W3CDTF">2025-01-14T09:03:00Z</dcterms:created>
  <dcterms:modified xsi:type="dcterms:W3CDTF">2025-03-12T08:01:00Z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eyJoZGlkIjoiMGQ4NGI2M2I2NzVhZmFlNzNhY2NkMTk4MTcwYmRkMGIiLCJ1c2VySWQiOiIzNDgzNTIwMjUifQ==</vt:lpwstr>
  </property>
  <property fmtid="{D5CDD505-2E9C-101B-9397-08002B2CF9AE}" pid="3" name="KSOProductBuildVer">
    <vt:lpwstr>2052-12.1.0.20305</vt:lpwstr>
  </property>
  <property fmtid="{D5CDD505-2E9C-101B-9397-08002B2CF9AE}" pid="4" name="ICV">
    <vt:lpwstr>199CBFE8623A4F0A8E66C1CE507DCE39_13</vt:lpwstr>
  </property>
</Properties>
</file>