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6F0D" w:rsidRPr="00B77D89" w:rsidRDefault="00836F0D" w:rsidP="00836F0D">
      <w:pPr>
        <w:pStyle w:val="aa"/>
        <w:widowControl/>
        <w:spacing w:beforeAutospacing="0" w:afterAutospacing="0" w:line="384" w:lineRule="atLeast"/>
        <w:rPr>
          <w:rFonts w:ascii="黑体" w:eastAsia="黑体" w:hAnsi="黑体" w:hint="eastAsia"/>
          <w:sz w:val="32"/>
          <w:szCs w:val="32"/>
          <w:shd w:val="clear" w:color="auto" w:fill="FFFFFF"/>
        </w:rPr>
      </w:pPr>
      <w:r w:rsidRPr="00B77D89">
        <w:rPr>
          <w:rFonts w:ascii="黑体" w:eastAsia="黑体" w:hAnsi="黑体"/>
          <w:sz w:val="32"/>
          <w:szCs w:val="32"/>
          <w:shd w:val="clear" w:color="auto" w:fill="FFFFFF"/>
        </w:rPr>
        <w:t>附件</w:t>
      </w:r>
      <w:r>
        <w:rPr>
          <w:rFonts w:ascii="黑体" w:eastAsia="黑体" w:hAnsi="黑体" w:hint="eastAsia"/>
          <w:sz w:val="32"/>
          <w:szCs w:val="32"/>
          <w:shd w:val="clear" w:color="auto" w:fill="FFFFFF"/>
        </w:rPr>
        <w:t>2</w:t>
      </w:r>
    </w:p>
    <w:p w:rsidR="00836F0D" w:rsidRDefault="00836F0D" w:rsidP="00836F0D">
      <w:pPr>
        <w:spacing w:afterLines="50" w:after="156" w:line="560" w:lineRule="exact"/>
        <w:jc w:val="center"/>
        <w:rPr>
          <w:rFonts w:ascii="Times New Roman" w:eastAsia="方正小标宋简体" w:hAnsi="Times New Roman" w:cs="Times New Roman"/>
          <w:b/>
          <w:sz w:val="44"/>
          <w:szCs w:val="44"/>
        </w:rPr>
      </w:pPr>
    </w:p>
    <w:p w:rsidR="00836F0D" w:rsidRDefault="00836F0D" w:rsidP="00836F0D">
      <w:pPr>
        <w:spacing w:afterLines="50" w:after="156" w:line="560" w:lineRule="exact"/>
        <w:jc w:val="center"/>
        <w:rPr>
          <w:rFonts w:ascii="Times New Roman" w:eastAsia="方正小标宋简体" w:hAnsi="Times New Roman" w:cs="Times New Roman"/>
          <w:b/>
          <w:sz w:val="44"/>
          <w:szCs w:val="44"/>
        </w:rPr>
      </w:pPr>
    </w:p>
    <w:p w:rsidR="00836F0D" w:rsidRPr="00327F98" w:rsidRDefault="00836F0D" w:rsidP="00836F0D">
      <w:pPr>
        <w:spacing w:afterLines="50" w:after="156" w:line="560" w:lineRule="exact"/>
        <w:jc w:val="center"/>
        <w:rPr>
          <w:rFonts w:ascii="Times New Roman" w:eastAsia="方正小标宋简体" w:hAnsi="Times New Roman" w:cs="Times New Roman"/>
          <w:sz w:val="52"/>
          <w:szCs w:val="52"/>
        </w:rPr>
      </w:pPr>
    </w:p>
    <w:p w:rsidR="00836F0D" w:rsidRPr="00850011" w:rsidRDefault="00836F0D" w:rsidP="00836F0D">
      <w:pPr>
        <w:spacing w:afterLines="50" w:after="156" w:line="560" w:lineRule="exact"/>
        <w:jc w:val="center"/>
        <w:rPr>
          <w:rFonts w:ascii="Times New Roman" w:eastAsia="方正小标宋简体" w:hAnsi="Times New Roman" w:cs="Times New Roman"/>
          <w:spacing w:val="20"/>
          <w:sz w:val="44"/>
          <w:szCs w:val="44"/>
        </w:rPr>
      </w:pPr>
      <w:r w:rsidRPr="00850011">
        <w:rPr>
          <w:rFonts w:ascii="Times New Roman" w:eastAsia="方正小标宋简体" w:hAnsi="Times New Roman" w:cs="Times New Roman" w:hint="eastAsia"/>
          <w:spacing w:val="20"/>
          <w:sz w:val="44"/>
          <w:szCs w:val="44"/>
        </w:rPr>
        <w:t>管理科学与工程</w:t>
      </w:r>
      <w:r w:rsidRPr="00850011">
        <w:rPr>
          <w:rFonts w:ascii="Times New Roman" w:eastAsia="方正小标宋简体" w:hAnsi="Times New Roman" w:cs="Times New Roman"/>
          <w:spacing w:val="20"/>
          <w:sz w:val="44"/>
          <w:szCs w:val="44"/>
        </w:rPr>
        <w:t>学位授权</w:t>
      </w:r>
      <w:r w:rsidRPr="00850011">
        <w:rPr>
          <w:rFonts w:ascii="Times New Roman" w:eastAsia="方正小标宋简体" w:hAnsi="Times New Roman" w:cs="Times New Roman" w:hint="eastAsia"/>
          <w:spacing w:val="20"/>
          <w:sz w:val="44"/>
          <w:szCs w:val="44"/>
        </w:rPr>
        <w:t>点建设年度</w:t>
      </w:r>
      <w:r w:rsidRPr="00850011">
        <w:rPr>
          <w:rFonts w:ascii="Times New Roman" w:eastAsia="方正小标宋简体" w:hAnsi="Times New Roman" w:cs="Times New Roman"/>
          <w:spacing w:val="20"/>
          <w:sz w:val="44"/>
          <w:szCs w:val="44"/>
        </w:rPr>
        <w:t>报告</w:t>
      </w:r>
    </w:p>
    <w:p w:rsidR="00836F0D" w:rsidRPr="00850011" w:rsidRDefault="00836F0D" w:rsidP="00836F0D">
      <w:pPr>
        <w:spacing w:afterLines="50" w:after="156" w:line="560" w:lineRule="exact"/>
        <w:jc w:val="center"/>
        <w:rPr>
          <w:rFonts w:ascii="Times New Roman" w:eastAsia="方正小标宋简体" w:hAnsi="Times New Roman" w:cs="Times New Roman"/>
          <w:spacing w:val="20"/>
          <w:sz w:val="44"/>
          <w:szCs w:val="44"/>
        </w:rPr>
      </w:pPr>
      <w:r w:rsidRPr="00850011">
        <w:rPr>
          <w:rFonts w:ascii="Times New Roman" w:eastAsia="方正小标宋简体" w:hAnsi="Times New Roman" w:cs="Times New Roman" w:hint="eastAsia"/>
          <w:spacing w:val="20"/>
          <w:sz w:val="44"/>
          <w:szCs w:val="44"/>
        </w:rPr>
        <w:t>（</w:t>
      </w:r>
      <w:r w:rsidRPr="00850011">
        <w:rPr>
          <w:rFonts w:ascii="Times New Roman" w:eastAsia="方正小标宋简体" w:hAnsi="Times New Roman" w:cs="Times New Roman" w:hint="eastAsia"/>
          <w:spacing w:val="20"/>
          <w:sz w:val="44"/>
          <w:szCs w:val="44"/>
        </w:rPr>
        <w:t>202</w:t>
      </w:r>
      <w:r w:rsidR="00D94EF6">
        <w:rPr>
          <w:rFonts w:ascii="Times New Roman" w:eastAsia="方正小标宋简体" w:hAnsi="Times New Roman" w:cs="Times New Roman" w:hint="eastAsia"/>
          <w:spacing w:val="20"/>
          <w:sz w:val="44"/>
          <w:szCs w:val="44"/>
        </w:rPr>
        <w:t>2</w:t>
      </w:r>
      <w:r w:rsidRPr="00850011">
        <w:rPr>
          <w:rFonts w:ascii="Times New Roman" w:eastAsia="方正小标宋简体" w:hAnsi="Times New Roman" w:cs="Times New Roman" w:hint="eastAsia"/>
          <w:spacing w:val="20"/>
          <w:sz w:val="44"/>
          <w:szCs w:val="44"/>
        </w:rPr>
        <w:t>年度）</w:t>
      </w:r>
    </w:p>
    <w:p w:rsidR="00836F0D" w:rsidRDefault="00836F0D" w:rsidP="00836F0D">
      <w:pPr>
        <w:spacing w:afterLines="50" w:after="156" w:line="560" w:lineRule="exact"/>
        <w:rPr>
          <w:rFonts w:ascii="Times New Roman" w:eastAsia="方正小标宋简体" w:hAnsi="Times New Roman" w:cs="Times New Roman"/>
          <w:b/>
          <w:sz w:val="44"/>
          <w:szCs w:val="44"/>
        </w:rPr>
      </w:pPr>
    </w:p>
    <w:tbl>
      <w:tblPr>
        <w:tblStyle w:val="af2"/>
        <w:tblW w:w="5040"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836F0D" w:rsidTr="000D4D9C">
        <w:trPr>
          <w:jc w:val="center"/>
        </w:trPr>
        <w:tc>
          <w:tcPr>
            <w:tcW w:w="2160" w:type="dxa"/>
            <w:vMerge w:val="restart"/>
            <w:vAlign w:val="center"/>
          </w:tcPr>
          <w:p w:rsidR="00836F0D" w:rsidRDefault="00836F0D" w:rsidP="000D4D9C">
            <w:pPr>
              <w:spacing w:line="200" w:lineRule="atLeast"/>
              <w:jc w:val="center"/>
              <w:rPr>
                <w:rFonts w:eastAsia="楷体_GB2312"/>
                <w:b/>
                <w:sz w:val="30"/>
                <w:szCs w:val="30"/>
              </w:rPr>
            </w:pPr>
            <w:r>
              <w:rPr>
                <w:rFonts w:eastAsia="楷体_GB2312"/>
                <w:b/>
                <w:sz w:val="30"/>
                <w:szCs w:val="30"/>
              </w:rPr>
              <w:t>学位授予单位</w:t>
            </w:r>
          </w:p>
        </w:tc>
        <w:tc>
          <w:tcPr>
            <w:tcW w:w="2880" w:type="dxa"/>
            <w:tcBorders>
              <w:bottom w:val="single" w:sz="4" w:space="0" w:color="auto"/>
            </w:tcBorders>
            <w:vAlign w:val="center"/>
          </w:tcPr>
          <w:p w:rsidR="00836F0D" w:rsidRDefault="00836F0D" w:rsidP="000D4D9C">
            <w:pPr>
              <w:rPr>
                <w:rFonts w:eastAsia="楷体_GB2312"/>
                <w:b/>
                <w:sz w:val="30"/>
                <w:szCs w:val="30"/>
              </w:rPr>
            </w:pPr>
            <w:r>
              <w:rPr>
                <w:rFonts w:eastAsia="楷体_GB2312"/>
                <w:b/>
                <w:sz w:val="30"/>
                <w:szCs w:val="30"/>
              </w:rPr>
              <w:t>名称：</w:t>
            </w:r>
            <w:r>
              <w:rPr>
                <w:rFonts w:eastAsia="楷体_GB2312" w:hint="eastAsia"/>
                <w:b/>
                <w:sz w:val="30"/>
                <w:szCs w:val="30"/>
              </w:rPr>
              <w:t>南昌航空大学</w:t>
            </w:r>
          </w:p>
        </w:tc>
      </w:tr>
      <w:tr w:rsidR="00836F0D" w:rsidTr="000D4D9C">
        <w:trPr>
          <w:jc w:val="center"/>
        </w:trPr>
        <w:tc>
          <w:tcPr>
            <w:tcW w:w="2160" w:type="dxa"/>
            <w:vMerge/>
            <w:vAlign w:val="center"/>
          </w:tcPr>
          <w:p w:rsidR="00836F0D" w:rsidRDefault="00836F0D" w:rsidP="000D4D9C">
            <w:pPr>
              <w:jc w:val="center"/>
              <w:rPr>
                <w:rFonts w:eastAsia="楷体_GB2312"/>
                <w:b/>
                <w:sz w:val="30"/>
                <w:szCs w:val="30"/>
              </w:rPr>
            </w:pPr>
          </w:p>
        </w:tc>
        <w:tc>
          <w:tcPr>
            <w:tcW w:w="2880" w:type="dxa"/>
            <w:tcBorders>
              <w:top w:val="single" w:sz="4" w:space="0" w:color="auto"/>
            </w:tcBorders>
            <w:vAlign w:val="center"/>
          </w:tcPr>
          <w:p w:rsidR="00836F0D" w:rsidRDefault="00836F0D" w:rsidP="000D4D9C">
            <w:pPr>
              <w:rPr>
                <w:rFonts w:eastAsia="楷体_GB2312"/>
                <w:b/>
                <w:sz w:val="30"/>
                <w:szCs w:val="30"/>
              </w:rPr>
            </w:pPr>
            <w:r>
              <w:rPr>
                <w:rFonts w:eastAsia="楷体_GB2312"/>
                <w:b/>
                <w:sz w:val="30"/>
                <w:szCs w:val="30"/>
              </w:rPr>
              <w:t>代码：</w:t>
            </w:r>
            <w:r>
              <w:rPr>
                <w:rFonts w:eastAsia="楷体_GB2312" w:hint="eastAsia"/>
                <w:b/>
                <w:sz w:val="30"/>
                <w:szCs w:val="30"/>
              </w:rPr>
              <w:t>10406</w:t>
            </w:r>
          </w:p>
        </w:tc>
      </w:tr>
    </w:tbl>
    <w:p w:rsidR="00836F0D" w:rsidRDefault="00836F0D" w:rsidP="00836F0D">
      <w:pPr>
        <w:spacing w:line="720" w:lineRule="auto"/>
        <w:jc w:val="center"/>
        <w:rPr>
          <w:rFonts w:ascii="Times New Roman" w:eastAsia="楷体_GB2312" w:hAnsi="Times New Roman" w:cs="Times New Roman"/>
          <w:b/>
          <w:sz w:val="30"/>
          <w:szCs w:val="30"/>
        </w:rPr>
      </w:pPr>
    </w:p>
    <w:tbl>
      <w:tblPr>
        <w:tblStyle w:val="af2"/>
        <w:tblW w:w="5568"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410"/>
        <w:gridCol w:w="3158"/>
      </w:tblGrid>
      <w:tr w:rsidR="00836F0D" w:rsidTr="000D4D9C">
        <w:trPr>
          <w:jc w:val="center"/>
        </w:trPr>
        <w:tc>
          <w:tcPr>
            <w:tcW w:w="2410" w:type="dxa"/>
            <w:vMerge w:val="restart"/>
            <w:vAlign w:val="center"/>
          </w:tcPr>
          <w:p w:rsidR="00836F0D" w:rsidRDefault="00836F0D" w:rsidP="000D4D9C">
            <w:pPr>
              <w:jc w:val="center"/>
              <w:rPr>
                <w:rFonts w:eastAsia="楷体_GB2312"/>
                <w:b/>
                <w:sz w:val="30"/>
                <w:szCs w:val="30"/>
              </w:rPr>
            </w:pPr>
            <w:r w:rsidRPr="00836F0D">
              <w:rPr>
                <w:rFonts w:eastAsia="楷体_GB2312"/>
                <w:b/>
                <w:spacing w:val="100"/>
                <w:kern w:val="0"/>
                <w:sz w:val="30"/>
                <w:szCs w:val="30"/>
                <w:fitText w:val="1806" w:id="-753138944"/>
              </w:rPr>
              <w:t>授权学</w:t>
            </w:r>
            <w:r w:rsidRPr="00836F0D">
              <w:rPr>
                <w:rFonts w:eastAsia="楷体_GB2312"/>
                <w:b/>
                <w:spacing w:val="1"/>
                <w:kern w:val="0"/>
                <w:sz w:val="30"/>
                <w:szCs w:val="30"/>
                <w:fitText w:val="1806" w:id="-753138944"/>
              </w:rPr>
              <w:t>科</w:t>
            </w:r>
          </w:p>
          <w:p w:rsidR="00836F0D" w:rsidRDefault="00836F0D" w:rsidP="000D4D9C">
            <w:pPr>
              <w:jc w:val="center"/>
              <w:rPr>
                <w:rFonts w:eastAsia="楷体_GB2312"/>
                <w:b/>
                <w:sz w:val="30"/>
                <w:szCs w:val="30"/>
              </w:rPr>
            </w:pPr>
            <w:r>
              <w:rPr>
                <w:rFonts w:eastAsia="楷体_GB2312"/>
                <w:b/>
                <w:sz w:val="30"/>
                <w:szCs w:val="30"/>
              </w:rPr>
              <w:t>（类别）</w:t>
            </w:r>
          </w:p>
        </w:tc>
        <w:tc>
          <w:tcPr>
            <w:tcW w:w="3158" w:type="dxa"/>
            <w:tcBorders>
              <w:bottom w:val="single" w:sz="4" w:space="0" w:color="auto"/>
            </w:tcBorders>
            <w:vAlign w:val="center"/>
          </w:tcPr>
          <w:p w:rsidR="00836F0D" w:rsidRDefault="00836F0D" w:rsidP="000D4D9C">
            <w:pPr>
              <w:rPr>
                <w:rFonts w:eastAsia="楷体_GB2312"/>
                <w:b/>
                <w:sz w:val="30"/>
                <w:szCs w:val="30"/>
              </w:rPr>
            </w:pPr>
            <w:r>
              <w:rPr>
                <w:rFonts w:eastAsia="楷体_GB2312"/>
                <w:b/>
                <w:sz w:val="30"/>
                <w:szCs w:val="30"/>
              </w:rPr>
              <w:t>名称：</w:t>
            </w:r>
            <w:r>
              <w:rPr>
                <w:rFonts w:eastAsia="楷体_GB2312" w:hint="eastAsia"/>
                <w:b/>
                <w:sz w:val="30"/>
                <w:szCs w:val="30"/>
              </w:rPr>
              <w:t>管理科学与工程</w:t>
            </w:r>
          </w:p>
        </w:tc>
      </w:tr>
      <w:tr w:rsidR="00836F0D" w:rsidTr="000D4D9C">
        <w:trPr>
          <w:jc w:val="center"/>
        </w:trPr>
        <w:tc>
          <w:tcPr>
            <w:tcW w:w="2410" w:type="dxa"/>
            <w:vMerge/>
            <w:vAlign w:val="center"/>
          </w:tcPr>
          <w:p w:rsidR="00836F0D" w:rsidRDefault="00836F0D" w:rsidP="000D4D9C">
            <w:pPr>
              <w:rPr>
                <w:rFonts w:eastAsia="楷体_GB2312"/>
                <w:b/>
                <w:sz w:val="30"/>
                <w:szCs w:val="30"/>
              </w:rPr>
            </w:pPr>
          </w:p>
        </w:tc>
        <w:tc>
          <w:tcPr>
            <w:tcW w:w="3158" w:type="dxa"/>
            <w:tcBorders>
              <w:top w:val="single" w:sz="4" w:space="0" w:color="auto"/>
            </w:tcBorders>
            <w:vAlign w:val="center"/>
          </w:tcPr>
          <w:p w:rsidR="00836F0D" w:rsidRDefault="00836F0D" w:rsidP="000D4D9C">
            <w:pPr>
              <w:rPr>
                <w:rFonts w:eastAsia="楷体_GB2312"/>
                <w:b/>
                <w:sz w:val="30"/>
                <w:szCs w:val="30"/>
              </w:rPr>
            </w:pPr>
            <w:r>
              <w:rPr>
                <w:rFonts w:eastAsia="楷体_GB2312"/>
                <w:b/>
                <w:sz w:val="30"/>
                <w:szCs w:val="30"/>
              </w:rPr>
              <w:t>代码：</w:t>
            </w:r>
            <w:r>
              <w:rPr>
                <w:rFonts w:eastAsia="楷体_GB2312" w:hint="eastAsia"/>
                <w:b/>
                <w:sz w:val="30"/>
                <w:szCs w:val="30"/>
              </w:rPr>
              <w:t>1201</w:t>
            </w:r>
          </w:p>
        </w:tc>
      </w:tr>
    </w:tbl>
    <w:p w:rsidR="00836F0D" w:rsidRDefault="00836F0D" w:rsidP="00836F0D">
      <w:pPr>
        <w:spacing w:line="720" w:lineRule="auto"/>
        <w:jc w:val="center"/>
        <w:rPr>
          <w:rFonts w:ascii="Times New Roman" w:eastAsia="楷体_GB2312" w:hAnsi="Times New Roman" w:cs="Times New Roman"/>
          <w:b/>
          <w:sz w:val="30"/>
          <w:szCs w:val="30"/>
        </w:rPr>
      </w:pPr>
    </w:p>
    <w:tbl>
      <w:tblPr>
        <w:tblStyle w:val="af2"/>
        <w:tblW w:w="5040"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836F0D" w:rsidTr="000D4D9C">
        <w:trPr>
          <w:jc w:val="center"/>
        </w:trPr>
        <w:tc>
          <w:tcPr>
            <w:tcW w:w="2160" w:type="dxa"/>
            <w:vMerge w:val="restart"/>
            <w:vAlign w:val="center"/>
          </w:tcPr>
          <w:p w:rsidR="00836F0D" w:rsidRDefault="00836F0D" w:rsidP="000D4D9C">
            <w:pPr>
              <w:jc w:val="distribute"/>
              <w:rPr>
                <w:rFonts w:eastAsia="楷体_GB2312"/>
                <w:b/>
                <w:sz w:val="30"/>
                <w:szCs w:val="30"/>
              </w:rPr>
            </w:pPr>
            <w:r w:rsidRPr="00836F0D">
              <w:rPr>
                <w:rFonts w:eastAsia="楷体_GB2312"/>
                <w:b/>
                <w:spacing w:val="100"/>
                <w:kern w:val="0"/>
                <w:sz w:val="30"/>
                <w:szCs w:val="30"/>
                <w:fitText w:val="1806" w:id="-753138943"/>
              </w:rPr>
              <w:t>授权级</w:t>
            </w:r>
            <w:r w:rsidRPr="00836F0D">
              <w:rPr>
                <w:rFonts w:eastAsia="楷体_GB2312"/>
                <w:b/>
                <w:spacing w:val="1"/>
                <w:kern w:val="0"/>
                <w:sz w:val="30"/>
                <w:szCs w:val="30"/>
                <w:fitText w:val="1806" w:id="-753138943"/>
              </w:rPr>
              <w:t>别</w:t>
            </w:r>
          </w:p>
        </w:tc>
        <w:tc>
          <w:tcPr>
            <w:tcW w:w="2880" w:type="dxa"/>
            <w:tcBorders>
              <w:bottom w:val="single" w:sz="4" w:space="0" w:color="auto"/>
            </w:tcBorders>
            <w:vAlign w:val="center"/>
          </w:tcPr>
          <w:p w:rsidR="00836F0D" w:rsidRDefault="00836F0D" w:rsidP="000D4D9C">
            <w:pPr>
              <w:rPr>
                <w:rFonts w:eastAsia="楷体_GB2312"/>
                <w:b/>
                <w:sz w:val="30"/>
                <w:szCs w:val="30"/>
              </w:rPr>
            </w:pPr>
            <w:r>
              <w:rPr>
                <w:rFonts w:eastAsia="楷体_GB2312"/>
                <w:b/>
                <w:sz w:val="30"/>
                <w:szCs w:val="30"/>
              </w:rPr>
              <w:t xml:space="preserve">□  </w:t>
            </w:r>
            <w:r>
              <w:rPr>
                <w:rFonts w:eastAsia="楷体_GB2312"/>
                <w:b/>
                <w:sz w:val="30"/>
                <w:szCs w:val="30"/>
              </w:rPr>
              <w:t>博</w:t>
            </w:r>
            <w:r>
              <w:rPr>
                <w:rFonts w:eastAsia="楷体_GB2312"/>
                <w:b/>
                <w:sz w:val="30"/>
                <w:szCs w:val="30"/>
              </w:rPr>
              <w:t xml:space="preserve">  </w:t>
            </w:r>
            <w:r>
              <w:rPr>
                <w:rFonts w:eastAsia="楷体_GB2312"/>
                <w:b/>
                <w:sz w:val="30"/>
                <w:szCs w:val="30"/>
              </w:rPr>
              <w:t>士</w:t>
            </w:r>
          </w:p>
        </w:tc>
      </w:tr>
      <w:tr w:rsidR="00836F0D" w:rsidTr="000D4D9C">
        <w:trPr>
          <w:jc w:val="center"/>
        </w:trPr>
        <w:tc>
          <w:tcPr>
            <w:tcW w:w="2160" w:type="dxa"/>
            <w:vMerge/>
          </w:tcPr>
          <w:p w:rsidR="00836F0D" w:rsidRDefault="00836F0D" w:rsidP="000D4D9C">
            <w:pPr>
              <w:jc w:val="center"/>
              <w:rPr>
                <w:rFonts w:eastAsia="楷体_GB2312"/>
                <w:b/>
                <w:sz w:val="30"/>
                <w:szCs w:val="30"/>
              </w:rPr>
            </w:pPr>
          </w:p>
        </w:tc>
        <w:tc>
          <w:tcPr>
            <w:tcW w:w="2880" w:type="dxa"/>
            <w:tcBorders>
              <w:top w:val="single" w:sz="4" w:space="0" w:color="auto"/>
            </w:tcBorders>
            <w:vAlign w:val="center"/>
          </w:tcPr>
          <w:p w:rsidR="00836F0D" w:rsidRDefault="00836F0D" w:rsidP="000D4D9C">
            <w:pPr>
              <w:rPr>
                <w:rFonts w:eastAsia="楷体_GB2312"/>
                <w:b/>
                <w:sz w:val="30"/>
                <w:szCs w:val="30"/>
              </w:rPr>
            </w:pPr>
            <w:r>
              <w:rPr>
                <w:rFonts w:eastAsia="楷体_GB2312"/>
                <w:b/>
                <w:sz w:val="30"/>
                <w:szCs w:val="30"/>
              </w:rPr>
              <w:sym w:font="Wingdings 2" w:char="F052"/>
            </w:r>
            <w:r>
              <w:rPr>
                <w:rFonts w:eastAsia="楷体_GB2312"/>
                <w:b/>
                <w:sz w:val="30"/>
                <w:szCs w:val="30"/>
              </w:rPr>
              <w:t xml:space="preserve"> </w:t>
            </w:r>
            <w:r>
              <w:rPr>
                <w:rFonts w:eastAsia="楷体_GB2312"/>
                <w:b/>
                <w:sz w:val="30"/>
                <w:szCs w:val="30"/>
              </w:rPr>
              <w:t>硕</w:t>
            </w:r>
            <w:r>
              <w:rPr>
                <w:rFonts w:eastAsia="楷体_GB2312"/>
                <w:b/>
                <w:sz w:val="30"/>
                <w:szCs w:val="30"/>
              </w:rPr>
              <w:t xml:space="preserve">  </w:t>
            </w:r>
            <w:r>
              <w:rPr>
                <w:rFonts w:eastAsia="楷体_GB2312"/>
                <w:b/>
                <w:sz w:val="30"/>
                <w:szCs w:val="30"/>
              </w:rPr>
              <w:t>士</w:t>
            </w:r>
          </w:p>
        </w:tc>
      </w:tr>
    </w:tbl>
    <w:p w:rsidR="00836F0D" w:rsidRDefault="00836F0D" w:rsidP="00836F0D">
      <w:pPr>
        <w:rPr>
          <w:rFonts w:ascii="Times New Roman" w:eastAsia="楷体_GB2312" w:hAnsi="Times New Roman" w:cs="Times New Roman"/>
          <w:b/>
          <w:sz w:val="30"/>
          <w:szCs w:val="30"/>
        </w:rPr>
      </w:pPr>
    </w:p>
    <w:p w:rsidR="00836F0D" w:rsidRDefault="00836F0D" w:rsidP="00836F0D">
      <w:pPr>
        <w:jc w:val="center"/>
        <w:rPr>
          <w:rFonts w:ascii="Times New Roman" w:eastAsia="楷体_GB2312" w:hAnsi="Times New Roman" w:cs="Times New Roman"/>
          <w:b/>
          <w:sz w:val="30"/>
          <w:szCs w:val="30"/>
        </w:rPr>
      </w:pPr>
    </w:p>
    <w:p w:rsidR="007961DA" w:rsidRDefault="00836F0D" w:rsidP="00836F0D">
      <w:pPr>
        <w:spacing w:line="360" w:lineRule="auto"/>
        <w:jc w:val="center"/>
        <w:textAlignment w:val="baseline"/>
        <w:rPr>
          <w:rStyle w:val="NormalCharacter"/>
          <w:rFonts w:ascii="楷体_GB2312" w:eastAsia="楷体_GB2312" w:hAnsi="Times New Roman"/>
          <w:b/>
          <w:sz w:val="36"/>
          <w:szCs w:val="32"/>
        </w:rPr>
      </w:pPr>
      <w:r w:rsidRPr="00404C6B">
        <w:rPr>
          <w:rFonts w:ascii="楷体_GB2312" w:eastAsia="楷体_GB2312" w:hAnsi="Times New Roman" w:cs="Times New Roman" w:hint="eastAsia"/>
          <w:b/>
          <w:sz w:val="36"/>
          <w:szCs w:val="30"/>
        </w:rPr>
        <w:t>202</w:t>
      </w:r>
      <w:r>
        <w:rPr>
          <w:rFonts w:ascii="楷体_GB2312" w:eastAsia="楷体_GB2312" w:hAnsi="Times New Roman" w:cs="Times New Roman" w:hint="eastAsia"/>
          <w:b/>
          <w:sz w:val="36"/>
          <w:szCs w:val="30"/>
        </w:rPr>
        <w:t>2</w:t>
      </w:r>
      <w:r w:rsidRPr="00404C6B">
        <w:rPr>
          <w:rFonts w:ascii="楷体_GB2312" w:eastAsia="楷体_GB2312" w:hAnsi="Times New Roman" w:cs="Times New Roman" w:hint="eastAsia"/>
          <w:b/>
          <w:sz w:val="36"/>
          <w:szCs w:val="30"/>
        </w:rPr>
        <w:t>年</w:t>
      </w:r>
      <w:r>
        <w:rPr>
          <w:rFonts w:ascii="楷体_GB2312" w:eastAsia="楷体_GB2312" w:hAnsi="Times New Roman" w:cs="Times New Roman" w:hint="eastAsia"/>
          <w:b/>
          <w:sz w:val="36"/>
          <w:szCs w:val="30"/>
        </w:rPr>
        <w:t>12</w:t>
      </w:r>
      <w:r w:rsidRPr="00404C6B">
        <w:rPr>
          <w:rFonts w:ascii="楷体_GB2312" w:eastAsia="楷体_GB2312" w:hAnsi="Times New Roman" w:cs="Times New Roman" w:hint="eastAsia"/>
          <w:b/>
          <w:sz w:val="36"/>
          <w:szCs w:val="30"/>
        </w:rPr>
        <w:t>月</w:t>
      </w:r>
      <w:r>
        <w:rPr>
          <w:rFonts w:ascii="楷体_GB2312" w:eastAsia="楷体_GB2312" w:hAnsi="Times New Roman" w:cs="Times New Roman" w:hint="eastAsia"/>
          <w:b/>
          <w:sz w:val="36"/>
          <w:szCs w:val="30"/>
        </w:rPr>
        <w:t>30</w:t>
      </w:r>
      <w:r w:rsidRPr="00404C6B">
        <w:rPr>
          <w:rFonts w:ascii="楷体_GB2312" w:eastAsia="楷体_GB2312" w:hAnsi="Times New Roman" w:cs="Times New Roman" w:hint="eastAsia"/>
          <w:b/>
          <w:sz w:val="36"/>
          <w:szCs w:val="30"/>
        </w:rPr>
        <w:t>日</w:t>
      </w:r>
      <w:r>
        <w:rPr>
          <w:rStyle w:val="NormalCharacter"/>
          <w:rFonts w:ascii="楷体_GB2312" w:eastAsia="楷体_GB2312" w:hAnsi="Times New Roman"/>
          <w:b/>
          <w:sz w:val="36"/>
          <w:szCs w:val="32"/>
        </w:rPr>
        <w:tab/>
      </w:r>
    </w:p>
    <w:p w:rsidR="007961DA" w:rsidRDefault="007961DA">
      <w:pPr>
        <w:tabs>
          <w:tab w:val="left" w:pos="8040"/>
        </w:tabs>
        <w:spacing w:line="360" w:lineRule="auto"/>
        <w:rPr>
          <w:rFonts w:ascii="楷体_GB2312" w:eastAsia="楷体_GB2312" w:hAnsi="Times New Roman"/>
          <w:b/>
          <w:sz w:val="36"/>
          <w:szCs w:val="32"/>
        </w:rPr>
        <w:sectPr w:rsidR="007961DA">
          <w:headerReference w:type="even" r:id="rId8"/>
          <w:headerReference w:type="default" r:id="rId9"/>
          <w:footerReference w:type="even" r:id="rId10"/>
          <w:footerReference w:type="default" r:id="rId11"/>
          <w:headerReference w:type="first" r:id="rId12"/>
          <w:footerReference w:type="first" r:id="rId13"/>
          <w:pgSz w:w="11906" w:h="16838"/>
          <w:pgMar w:top="2155" w:right="1435" w:bottom="1588" w:left="1435" w:header="851" w:footer="1587" w:gutter="0"/>
          <w:cols w:space="425"/>
          <w:titlePg/>
          <w:docGrid w:type="lines" w:linePitch="312"/>
        </w:sectPr>
      </w:pPr>
    </w:p>
    <w:p w:rsidR="007961DA" w:rsidRDefault="00000000" w:rsidP="00E6200D">
      <w:pPr>
        <w:spacing w:line="360" w:lineRule="auto"/>
        <w:ind w:firstLineChars="100" w:firstLine="320"/>
        <w:textAlignment w:val="baseline"/>
        <w:rPr>
          <w:rFonts w:ascii="宋体" w:eastAsia="宋体" w:hAnsi="宋体" w:cs="宋体" w:hint="eastAsia"/>
          <w:spacing w:val="-3"/>
          <w:sz w:val="28"/>
          <w:szCs w:val="28"/>
        </w:rPr>
      </w:pPr>
      <w:r>
        <w:rPr>
          <w:rFonts w:ascii="黑体" w:eastAsia="黑体" w:hAnsi="黑体" w:cs="黑体" w:hint="eastAsia"/>
          <w:sz w:val="32"/>
          <w:szCs w:val="32"/>
        </w:rPr>
        <w:lastRenderedPageBreak/>
        <w:t>一、</w:t>
      </w:r>
      <w:r>
        <w:rPr>
          <w:rStyle w:val="NormalCharacter"/>
          <w:rFonts w:ascii="黑体" w:eastAsia="黑体" w:hAnsi="黑体" w:cs="黑体" w:hint="eastAsia"/>
          <w:szCs w:val="32"/>
        </w:rPr>
        <w:t>总体概况</w:t>
      </w:r>
    </w:p>
    <w:p w:rsidR="007961DA" w:rsidRDefault="00000000">
      <w:pPr>
        <w:spacing w:line="360" w:lineRule="auto"/>
        <w:ind w:left="19" w:firstLineChars="200" w:firstLine="548"/>
        <w:outlineLvl w:val="1"/>
        <w:rPr>
          <w:rFonts w:ascii="宋体" w:eastAsia="宋体" w:hAnsi="宋体" w:cs="宋体" w:hint="eastAsia"/>
          <w:spacing w:val="-3"/>
          <w:sz w:val="28"/>
          <w:szCs w:val="28"/>
        </w:rPr>
      </w:pPr>
      <w:r>
        <w:rPr>
          <w:rFonts w:ascii="宋体" w:eastAsia="宋体" w:hAnsi="宋体" w:cs="宋体"/>
          <w:spacing w:val="-3"/>
          <w:sz w:val="28"/>
          <w:szCs w:val="28"/>
        </w:rPr>
        <w:t>（一）学位授权点基本情况</w:t>
      </w:r>
    </w:p>
    <w:p w:rsidR="007961DA" w:rsidRDefault="00000000">
      <w:pPr>
        <w:pStyle w:val="a0"/>
        <w:spacing w:after="0" w:line="360" w:lineRule="auto"/>
        <w:ind w:firstLine="567"/>
        <w:rPr>
          <w:rFonts w:ascii="宋体" w:hAnsi="宋体" w:cs="宋体" w:hint="eastAsia"/>
          <w:spacing w:val="-2"/>
          <w:sz w:val="28"/>
          <w:szCs w:val="28"/>
        </w:rPr>
      </w:pPr>
      <w:r>
        <w:rPr>
          <w:rFonts w:ascii="Times New Roman" w:hAnsi="Times New Roman" w:cs="宋体"/>
          <w:spacing w:val="11"/>
          <w:sz w:val="28"/>
          <w:szCs w:val="28"/>
        </w:rPr>
        <w:t>本学位授权点于</w:t>
      </w:r>
      <w:r>
        <w:rPr>
          <w:rFonts w:ascii="Times New Roman" w:hAnsi="Times New Roman" w:cs="宋体"/>
          <w:spacing w:val="11"/>
          <w:sz w:val="28"/>
          <w:szCs w:val="28"/>
        </w:rPr>
        <w:t>2011</w:t>
      </w:r>
      <w:r>
        <w:rPr>
          <w:rFonts w:ascii="Times New Roman" w:hAnsi="Times New Roman" w:cs="宋体"/>
          <w:spacing w:val="11"/>
          <w:sz w:val="28"/>
          <w:szCs w:val="28"/>
        </w:rPr>
        <w:t>年获批管理科学与工程一级学科硕士学位授予权，</w:t>
      </w:r>
      <w:r>
        <w:rPr>
          <w:rFonts w:ascii="Times New Roman" w:hAnsi="Times New Roman" w:cs="宋体"/>
          <w:spacing w:val="11"/>
          <w:sz w:val="28"/>
          <w:szCs w:val="28"/>
        </w:rPr>
        <w:t>2012</w:t>
      </w:r>
      <w:r>
        <w:rPr>
          <w:rFonts w:ascii="Times New Roman" w:hAnsi="Times New Roman" w:cs="宋体"/>
          <w:spacing w:val="11"/>
          <w:sz w:val="28"/>
          <w:szCs w:val="28"/>
        </w:rPr>
        <w:t>年开始招收研究生。</w:t>
      </w:r>
      <w:r>
        <w:rPr>
          <w:rFonts w:ascii="Times New Roman" w:hAnsi="Times New Roman" w:cs="宋体"/>
          <w:spacing w:val="11"/>
          <w:sz w:val="28"/>
          <w:szCs w:val="28"/>
        </w:rPr>
        <w:t xml:space="preserve">2018 </w:t>
      </w:r>
      <w:r>
        <w:rPr>
          <w:rFonts w:ascii="Times New Roman" w:hAnsi="Times New Roman" w:cs="宋体"/>
          <w:spacing w:val="11"/>
          <w:sz w:val="28"/>
          <w:szCs w:val="28"/>
        </w:rPr>
        <w:t>年顺利通过教育部合格评估。下设</w:t>
      </w:r>
      <w:r>
        <w:rPr>
          <w:rFonts w:ascii="Times New Roman" w:hAnsi="Times New Roman" w:cs="宋体"/>
          <w:spacing w:val="11"/>
          <w:sz w:val="28"/>
          <w:szCs w:val="28"/>
        </w:rPr>
        <w:t>3</w:t>
      </w:r>
      <w:r>
        <w:rPr>
          <w:rFonts w:ascii="Times New Roman" w:hAnsi="Times New Roman" w:cs="宋体"/>
          <w:spacing w:val="11"/>
          <w:sz w:val="28"/>
          <w:szCs w:val="28"/>
        </w:rPr>
        <w:t>个二级学科点，分别为区域管理与公共政策、区域与产业经济管理、体育管理学</w:t>
      </w:r>
      <w:r>
        <w:rPr>
          <w:rFonts w:ascii="Times New Roman" w:hAnsi="Times New Roman" w:cs="宋体" w:hint="eastAsia"/>
          <w:spacing w:val="13"/>
          <w:sz w:val="28"/>
          <w:szCs w:val="28"/>
        </w:rPr>
        <w:t>。学位点陆续搭建了具有学科、行业特色鲜明的科研平台</w:t>
      </w:r>
      <w:r>
        <w:rPr>
          <w:rFonts w:ascii="Times New Roman" w:hAnsi="Times New Roman" w:cs="宋体" w:hint="eastAsia"/>
          <w:spacing w:val="13"/>
          <w:sz w:val="28"/>
          <w:szCs w:val="28"/>
        </w:rPr>
        <w:t>6</w:t>
      </w:r>
      <w:r>
        <w:rPr>
          <w:rFonts w:ascii="Times New Roman" w:hAnsi="Times New Roman" w:cs="宋体" w:hint="eastAsia"/>
          <w:spacing w:val="13"/>
          <w:sz w:val="28"/>
          <w:szCs w:val="28"/>
        </w:rPr>
        <w:t>个。其中，省级科研平台</w:t>
      </w:r>
      <w:r>
        <w:rPr>
          <w:rFonts w:ascii="Times New Roman" w:hAnsi="Times New Roman" w:cs="宋体" w:hint="eastAsia"/>
          <w:spacing w:val="13"/>
          <w:sz w:val="28"/>
          <w:szCs w:val="28"/>
        </w:rPr>
        <w:t>2</w:t>
      </w:r>
      <w:r>
        <w:rPr>
          <w:rFonts w:ascii="Times New Roman" w:hAnsi="Times New Roman" w:cs="宋体" w:hint="eastAsia"/>
          <w:spacing w:val="13"/>
          <w:sz w:val="28"/>
          <w:szCs w:val="28"/>
        </w:rPr>
        <w:t>个，校级平台</w:t>
      </w:r>
      <w:r>
        <w:rPr>
          <w:rFonts w:ascii="Times New Roman" w:hAnsi="Times New Roman" w:cs="宋体" w:hint="eastAsia"/>
          <w:spacing w:val="13"/>
          <w:sz w:val="28"/>
          <w:szCs w:val="28"/>
        </w:rPr>
        <w:t>4</w:t>
      </w:r>
      <w:r>
        <w:rPr>
          <w:rFonts w:ascii="Times New Roman" w:hAnsi="Times New Roman" w:cs="宋体" w:hint="eastAsia"/>
          <w:spacing w:val="13"/>
          <w:sz w:val="28"/>
          <w:szCs w:val="28"/>
        </w:rPr>
        <w:t>个。包括江西省航空产业发展与管理创新研究基地（江西省科技厅软科学基地）、军民融合与航空发展研究院（江西省社联重点高端智库）、江西区域经济与竞争力研究中心等。</w:t>
      </w:r>
    </w:p>
    <w:p w:rsidR="007961DA" w:rsidRDefault="00000000">
      <w:pPr>
        <w:spacing w:line="360" w:lineRule="auto"/>
        <w:ind w:left="19" w:firstLineChars="200" w:firstLine="552"/>
        <w:outlineLvl w:val="1"/>
        <w:rPr>
          <w:rFonts w:ascii="宋体" w:eastAsia="宋体" w:hAnsi="宋体" w:cs="宋体" w:hint="eastAsia"/>
          <w:spacing w:val="-2"/>
          <w:sz w:val="28"/>
          <w:szCs w:val="28"/>
        </w:rPr>
      </w:pPr>
      <w:r>
        <w:rPr>
          <w:rFonts w:ascii="宋体" w:eastAsia="宋体" w:hAnsi="宋体" w:cs="宋体"/>
          <w:spacing w:val="-2"/>
          <w:sz w:val="28"/>
          <w:szCs w:val="28"/>
        </w:rPr>
        <w:t>（二）人才培养情况</w:t>
      </w:r>
    </w:p>
    <w:p w:rsidR="007961DA" w:rsidRDefault="00000000">
      <w:pPr>
        <w:spacing w:line="360" w:lineRule="auto"/>
        <w:ind w:firstLine="607"/>
        <w:rPr>
          <w:rFonts w:ascii="Times New Roman" w:eastAsia="宋体" w:hAnsi="Times New Roman" w:cs="宋体"/>
          <w:spacing w:val="11"/>
          <w:sz w:val="28"/>
          <w:szCs w:val="28"/>
        </w:rPr>
      </w:pPr>
      <w:r w:rsidRPr="009B4876">
        <w:rPr>
          <w:rFonts w:ascii="Times New Roman" w:eastAsia="宋体" w:hAnsi="Times New Roman" w:cs="宋体" w:hint="eastAsia"/>
          <w:spacing w:val="11"/>
          <w:sz w:val="28"/>
          <w:szCs w:val="28"/>
        </w:rPr>
        <w:t>2</w:t>
      </w:r>
      <w:r w:rsidRPr="009B4876">
        <w:rPr>
          <w:rFonts w:ascii="Times New Roman" w:eastAsia="宋体" w:hAnsi="Times New Roman" w:cs="宋体"/>
          <w:spacing w:val="11"/>
          <w:sz w:val="28"/>
          <w:szCs w:val="28"/>
        </w:rPr>
        <w:t>02</w:t>
      </w:r>
      <w:r w:rsidRPr="009B4876">
        <w:rPr>
          <w:rFonts w:ascii="Times New Roman" w:eastAsia="宋体" w:hAnsi="Times New Roman" w:cs="宋体" w:hint="eastAsia"/>
          <w:spacing w:val="11"/>
          <w:sz w:val="28"/>
          <w:szCs w:val="28"/>
        </w:rPr>
        <w:t>2</w:t>
      </w:r>
      <w:r w:rsidRPr="009B4876">
        <w:rPr>
          <w:rFonts w:ascii="Times New Roman" w:eastAsia="宋体" w:hAnsi="Times New Roman" w:cs="宋体"/>
          <w:spacing w:val="11"/>
          <w:sz w:val="28"/>
          <w:szCs w:val="28"/>
        </w:rPr>
        <w:t>年完成硕士研究</w:t>
      </w:r>
      <w:r w:rsidRPr="009B4876">
        <w:rPr>
          <w:rFonts w:ascii="Times New Roman" w:eastAsia="宋体" w:hAnsi="Times New Roman" w:cs="宋体" w:hint="eastAsia"/>
          <w:spacing w:val="13"/>
          <w:sz w:val="28"/>
          <w:szCs w:val="28"/>
        </w:rPr>
        <w:t>生招生</w:t>
      </w:r>
      <w:r w:rsidRPr="009B4876">
        <w:rPr>
          <w:rFonts w:ascii="Times New Roman" w:eastAsia="宋体" w:hAnsi="Times New Roman" w:cs="宋体" w:hint="eastAsia"/>
          <w:spacing w:val="13"/>
          <w:sz w:val="28"/>
          <w:szCs w:val="28"/>
        </w:rPr>
        <w:t>32</w:t>
      </w:r>
      <w:r w:rsidRPr="009B4876">
        <w:rPr>
          <w:rFonts w:ascii="Times New Roman" w:eastAsia="宋体" w:hAnsi="Times New Roman" w:cs="宋体" w:hint="eastAsia"/>
          <w:spacing w:val="13"/>
          <w:sz w:val="28"/>
          <w:szCs w:val="28"/>
        </w:rPr>
        <w:t>人；</w:t>
      </w:r>
      <w:r w:rsidRPr="009B4876">
        <w:rPr>
          <w:rFonts w:ascii="Times New Roman" w:eastAsia="宋体" w:hAnsi="Times New Roman" w:cs="宋体" w:hint="eastAsia"/>
          <w:spacing w:val="13"/>
          <w:sz w:val="28"/>
          <w:szCs w:val="28"/>
        </w:rPr>
        <w:t>2022</w:t>
      </w:r>
      <w:r w:rsidRPr="009B4876">
        <w:rPr>
          <w:rFonts w:ascii="Times New Roman" w:eastAsia="宋体" w:hAnsi="Times New Roman" w:cs="宋体" w:hint="eastAsia"/>
          <w:spacing w:val="13"/>
          <w:sz w:val="28"/>
          <w:szCs w:val="28"/>
        </w:rPr>
        <w:t>届</w:t>
      </w:r>
      <w:r>
        <w:rPr>
          <w:rFonts w:ascii="Times New Roman" w:eastAsia="宋体" w:hAnsi="Times New Roman" w:cs="宋体" w:hint="eastAsia"/>
          <w:spacing w:val="13"/>
          <w:sz w:val="28"/>
          <w:szCs w:val="28"/>
        </w:rPr>
        <w:t>硕士毕业</w:t>
      </w:r>
      <w:r>
        <w:rPr>
          <w:rFonts w:ascii="Times New Roman" w:eastAsia="宋体" w:hAnsi="Times New Roman" w:cs="宋体" w:hint="eastAsia"/>
          <w:spacing w:val="13"/>
          <w:sz w:val="28"/>
          <w:szCs w:val="28"/>
        </w:rPr>
        <w:t>15</w:t>
      </w:r>
      <w:r>
        <w:rPr>
          <w:rFonts w:ascii="Times New Roman" w:eastAsia="宋体" w:hAnsi="Times New Roman" w:cs="宋体" w:hint="eastAsia"/>
          <w:spacing w:val="13"/>
          <w:sz w:val="28"/>
          <w:szCs w:val="28"/>
        </w:rPr>
        <w:t>人，就业率</w:t>
      </w:r>
      <w:r>
        <w:rPr>
          <w:rFonts w:ascii="Times New Roman" w:eastAsia="宋体" w:hAnsi="Times New Roman" w:cs="宋体" w:hint="eastAsia"/>
          <w:spacing w:val="13"/>
          <w:sz w:val="28"/>
          <w:szCs w:val="28"/>
        </w:rPr>
        <w:t>97.5%</w:t>
      </w:r>
      <w:r>
        <w:rPr>
          <w:rFonts w:ascii="Times New Roman" w:eastAsia="宋体" w:hAnsi="Times New Roman" w:cs="宋体" w:hint="eastAsia"/>
          <w:spacing w:val="13"/>
          <w:sz w:val="28"/>
          <w:szCs w:val="28"/>
        </w:rPr>
        <w:t>；其中考取博士研究生</w:t>
      </w:r>
      <w:r>
        <w:rPr>
          <w:rFonts w:ascii="Times New Roman" w:eastAsia="宋体" w:hAnsi="Times New Roman" w:cs="宋体" w:hint="eastAsia"/>
          <w:spacing w:val="13"/>
          <w:sz w:val="28"/>
          <w:szCs w:val="28"/>
        </w:rPr>
        <w:t>2</w:t>
      </w:r>
      <w:r>
        <w:rPr>
          <w:rFonts w:ascii="Times New Roman" w:eastAsia="宋体" w:hAnsi="Times New Roman" w:cs="宋体" w:hint="eastAsia"/>
          <w:spacing w:val="13"/>
          <w:sz w:val="28"/>
          <w:szCs w:val="28"/>
        </w:rPr>
        <w:t>人、</w:t>
      </w:r>
      <w:r>
        <w:rPr>
          <w:rFonts w:ascii="Times New Roman" w:eastAsia="宋体" w:hAnsi="Times New Roman" w:cs="宋体" w:hint="eastAsia"/>
          <w:spacing w:val="13"/>
          <w:sz w:val="28"/>
          <w:szCs w:val="28"/>
        </w:rPr>
        <w:t>2</w:t>
      </w:r>
      <w:r>
        <w:rPr>
          <w:rFonts w:ascii="Times New Roman" w:eastAsia="宋体" w:hAnsi="Times New Roman" w:cs="宋体" w:hint="eastAsia"/>
          <w:spacing w:val="13"/>
          <w:sz w:val="28"/>
          <w:szCs w:val="28"/>
        </w:rPr>
        <w:t>人进入党政机</w:t>
      </w:r>
      <w:r>
        <w:rPr>
          <w:rFonts w:ascii="Times New Roman" w:eastAsia="宋体" w:hAnsi="Times New Roman" w:cs="宋体" w:hint="eastAsia"/>
          <w:spacing w:val="11"/>
          <w:sz w:val="28"/>
          <w:szCs w:val="28"/>
        </w:rPr>
        <w:t>关、</w:t>
      </w:r>
      <w:r>
        <w:rPr>
          <w:rFonts w:ascii="Times New Roman" w:eastAsia="宋体" w:hAnsi="Times New Roman" w:cs="宋体" w:hint="eastAsia"/>
          <w:spacing w:val="11"/>
          <w:sz w:val="28"/>
          <w:szCs w:val="28"/>
        </w:rPr>
        <w:t>2</w:t>
      </w:r>
      <w:r>
        <w:rPr>
          <w:rFonts w:ascii="Times New Roman" w:eastAsia="宋体" w:hAnsi="Times New Roman" w:cs="宋体" w:hint="eastAsia"/>
          <w:spacing w:val="11"/>
          <w:sz w:val="28"/>
          <w:szCs w:val="28"/>
        </w:rPr>
        <w:t>人进入高校、</w:t>
      </w:r>
      <w:r>
        <w:rPr>
          <w:rFonts w:ascii="Times New Roman" w:eastAsia="宋体" w:hAnsi="Times New Roman" w:cs="宋体" w:hint="eastAsia"/>
          <w:spacing w:val="11"/>
          <w:sz w:val="28"/>
          <w:szCs w:val="28"/>
        </w:rPr>
        <w:t>3</w:t>
      </w:r>
      <w:r>
        <w:rPr>
          <w:rFonts w:ascii="Times New Roman" w:eastAsia="宋体" w:hAnsi="Times New Roman" w:cs="宋体" w:hint="eastAsia"/>
          <w:spacing w:val="11"/>
          <w:sz w:val="28"/>
          <w:szCs w:val="28"/>
        </w:rPr>
        <w:t>人进入企事业单位、</w:t>
      </w:r>
      <w:r>
        <w:rPr>
          <w:rFonts w:ascii="Times New Roman" w:eastAsia="宋体" w:hAnsi="Times New Roman" w:cs="宋体" w:hint="eastAsia"/>
          <w:spacing w:val="11"/>
          <w:sz w:val="28"/>
          <w:szCs w:val="28"/>
        </w:rPr>
        <w:t>3</w:t>
      </w:r>
      <w:r>
        <w:rPr>
          <w:rFonts w:ascii="Times New Roman" w:eastAsia="宋体" w:hAnsi="Times New Roman" w:cs="宋体" w:hint="eastAsia"/>
          <w:spacing w:val="11"/>
          <w:sz w:val="28"/>
          <w:szCs w:val="28"/>
        </w:rPr>
        <w:t>人进入民营企业，整体就业质量较高。立项</w:t>
      </w:r>
      <w:r>
        <w:rPr>
          <w:rFonts w:ascii="Times New Roman" w:eastAsia="宋体" w:hAnsi="Times New Roman" w:cs="宋体" w:hint="eastAsia"/>
          <w:spacing w:val="11"/>
          <w:sz w:val="28"/>
          <w:szCs w:val="28"/>
        </w:rPr>
        <w:t>2</w:t>
      </w:r>
      <w:r>
        <w:rPr>
          <w:rFonts w:ascii="Times New Roman" w:eastAsia="宋体" w:hAnsi="Times New Roman" w:cs="宋体" w:hint="eastAsia"/>
          <w:spacing w:val="11"/>
          <w:sz w:val="28"/>
          <w:szCs w:val="28"/>
        </w:rPr>
        <w:t>项江西省青年马克思主义者理论研究创新工程，立项</w:t>
      </w:r>
      <w:r>
        <w:rPr>
          <w:rFonts w:ascii="Times New Roman" w:eastAsia="宋体" w:hAnsi="Times New Roman" w:cs="宋体" w:hint="eastAsia"/>
          <w:spacing w:val="11"/>
          <w:sz w:val="28"/>
          <w:szCs w:val="28"/>
        </w:rPr>
        <w:t>7</w:t>
      </w:r>
      <w:r>
        <w:rPr>
          <w:rFonts w:ascii="Times New Roman" w:eastAsia="宋体" w:hAnsi="Times New Roman" w:cs="宋体" w:hint="eastAsia"/>
          <w:spacing w:val="11"/>
          <w:sz w:val="28"/>
          <w:szCs w:val="28"/>
        </w:rPr>
        <w:t>项研究生省级创新专项资金项目。参加各级各类研究生科技竞赛获奖，以赛促学的氛围日渐浓厚，获各类学科竞赛国家级奖项</w:t>
      </w:r>
      <w:r>
        <w:rPr>
          <w:rFonts w:ascii="Times New Roman" w:eastAsia="宋体" w:hAnsi="Times New Roman" w:cs="宋体" w:hint="eastAsia"/>
          <w:spacing w:val="11"/>
          <w:sz w:val="28"/>
          <w:szCs w:val="28"/>
        </w:rPr>
        <w:t>19</w:t>
      </w:r>
      <w:r>
        <w:rPr>
          <w:rFonts w:ascii="Times New Roman" w:eastAsia="宋体" w:hAnsi="Times New Roman" w:cs="宋体" w:hint="eastAsia"/>
          <w:spacing w:val="11"/>
          <w:sz w:val="28"/>
          <w:szCs w:val="28"/>
        </w:rPr>
        <w:t>项、省级</w:t>
      </w:r>
      <w:r>
        <w:rPr>
          <w:rFonts w:ascii="Times New Roman" w:eastAsia="宋体" w:hAnsi="Times New Roman" w:cs="宋体" w:hint="eastAsia"/>
          <w:spacing w:val="11"/>
          <w:sz w:val="28"/>
          <w:szCs w:val="28"/>
        </w:rPr>
        <w:t>16</w:t>
      </w:r>
      <w:r>
        <w:rPr>
          <w:rFonts w:ascii="Times New Roman" w:eastAsia="宋体" w:hAnsi="Times New Roman" w:cs="宋体" w:hint="eastAsia"/>
          <w:spacing w:val="11"/>
          <w:sz w:val="28"/>
          <w:szCs w:val="28"/>
        </w:rPr>
        <w:t>项、校级</w:t>
      </w:r>
      <w:r>
        <w:rPr>
          <w:rFonts w:ascii="Times New Roman" w:eastAsia="宋体" w:hAnsi="Times New Roman" w:cs="宋体" w:hint="eastAsia"/>
          <w:spacing w:val="11"/>
          <w:sz w:val="28"/>
          <w:szCs w:val="28"/>
        </w:rPr>
        <w:t>6</w:t>
      </w:r>
      <w:r>
        <w:rPr>
          <w:rFonts w:ascii="Times New Roman" w:eastAsia="宋体" w:hAnsi="Times New Roman" w:cs="宋体" w:hint="eastAsia"/>
          <w:spacing w:val="11"/>
          <w:sz w:val="28"/>
          <w:szCs w:val="28"/>
        </w:rPr>
        <w:t>项。</w:t>
      </w:r>
      <w:r>
        <w:rPr>
          <w:rFonts w:ascii="Times New Roman" w:eastAsia="宋体" w:hAnsi="Times New Roman" w:cs="宋体" w:hint="eastAsia"/>
          <w:spacing w:val="11"/>
          <w:sz w:val="28"/>
          <w:szCs w:val="28"/>
        </w:rPr>
        <w:t>2022</w:t>
      </w:r>
      <w:r>
        <w:rPr>
          <w:rFonts w:ascii="Times New Roman" w:eastAsia="宋体" w:hAnsi="Times New Roman" w:cs="宋体" w:hint="eastAsia"/>
          <w:spacing w:val="11"/>
          <w:sz w:val="28"/>
          <w:szCs w:val="28"/>
        </w:rPr>
        <w:t>年组织研究生积极参与国内外各种学术交流活动，其中</w:t>
      </w:r>
      <w:r>
        <w:rPr>
          <w:rFonts w:ascii="Times New Roman" w:eastAsia="宋体" w:hAnsi="Times New Roman" w:cs="宋体" w:hint="eastAsia"/>
          <w:spacing w:val="11"/>
          <w:sz w:val="28"/>
          <w:szCs w:val="28"/>
        </w:rPr>
        <w:t>20</w:t>
      </w:r>
      <w:r>
        <w:rPr>
          <w:rFonts w:ascii="Times New Roman" w:eastAsia="宋体" w:hAnsi="Times New Roman" w:cs="宋体" w:hint="eastAsia"/>
          <w:spacing w:val="11"/>
          <w:sz w:val="28"/>
          <w:szCs w:val="28"/>
        </w:rPr>
        <w:t>余人参加了贯彻新发展理念的经济学学科建设研讨会，</w:t>
      </w:r>
      <w:r>
        <w:rPr>
          <w:rFonts w:ascii="Times New Roman" w:eastAsia="宋体" w:hAnsi="Times New Roman" w:cs="宋体" w:hint="eastAsia"/>
          <w:spacing w:val="11"/>
          <w:sz w:val="28"/>
          <w:szCs w:val="28"/>
        </w:rPr>
        <w:t>40</w:t>
      </w:r>
      <w:r>
        <w:rPr>
          <w:rFonts w:ascii="Times New Roman" w:eastAsia="宋体" w:hAnsi="Times New Roman" w:cs="宋体" w:hint="eastAsia"/>
          <w:spacing w:val="11"/>
          <w:sz w:val="28"/>
          <w:szCs w:val="28"/>
        </w:rPr>
        <w:t>余人参加了第十届中国航空学会青年科技论坛之“智慧经济与航空</w:t>
      </w:r>
      <w:r>
        <w:rPr>
          <w:rFonts w:ascii="Times New Roman" w:eastAsia="宋体" w:hAnsi="Times New Roman" w:cs="宋体" w:hint="eastAsia"/>
          <w:spacing w:val="11"/>
          <w:sz w:val="28"/>
          <w:szCs w:val="28"/>
        </w:rPr>
        <w:lastRenderedPageBreak/>
        <w:t>创新发展”分论坛。</w:t>
      </w:r>
    </w:p>
    <w:p w:rsidR="007961DA" w:rsidRDefault="00000000">
      <w:pPr>
        <w:spacing w:line="360" w:lineRule="auto"/>
        <w:ind w:firstLine="607"/>
        <w:rPr>
          <w:rFonts w:ascii="宋体" w:eastAsia="宋体" w:hAnsi="宋体" w:cs="宋体" w:hint="eastAsia"/>
          <w:spacing w:val="2"/>
          <w:sz w:val="28"/>
          <w:szCs w:val="28"/>
        </w:rPr>
      </w:pPr>
      <w:r>
        <w:rPr>
          <w:rFonts w:ascii="Times New Roman" w:eastAsia="宋体" w:hAnsi="Times New Roman" w:cs="宋体" w:hint="eastAsia"/>
          <w:spacing w:val="11"/>
          <w:sz w:val="28"/>
          <w:szCs w:val="28"/>
        </w:rPr>
        <w:t>（三）导师队伍情况</w:t>
      </w:r>
    </w:p>
    <w:p w:rsidR="007961DA" w:rsidRDefault="00000000">
      <w:pPr>
        <w:spacing w:line="360" w:lineRule="auto"/>
        <w:ind w:firstLine="607"/>
        <w:rPr>
          <w:rStyle w:val="NormalCharacter"/>
          <w:rFonts w:ascii="黑体" w:eastAsia="黑体" w:hAnsi="黑体" w:cs="黑体" w:hint="eastAsia"/>
          <w:szCs w:val="32"/>
        </w:rPr>
      </w:pPr>
      <w:r>
        <w:rPr>
          <w:rFonts w:ascii="Times New Roman" w:eastAsia="宋体" w:hAnsi="Times New Roman" w:cs="宋体" w:hint="eastAsia"/>
          <w:spacing w:val="11"/>
          <w:sz w:val="28"/>
          <w:szCs w:val="28"/>
        </w:rPr>
        <w:t>本学科坚持立德树人为根本，面向国家重大战略需求和区域经济发展，注重跨学科交叉融合，创新研究与实践并重。经过多年的学科建设与发展，导师队伍建设成效显著。</w:t>
      </w:r>
      <w:r>
        <w:rPr>
          <w:rFonts w:ascii="宋体" w:eastAsia="宋体" w:hAnsi="宋体" w:cs="宋体" w:hint="eastAsia"/>
          <w:bCs/>
          <w:sz w:val="28"/>
          <w:szCs w:val="28"/>
        </w:rPr>
        <w:t>本学科点师资力量雄厚，有教授14人、博士学位副教授24人，其中江西省高校中青年学科带头人4人，江西省中青年骨干教师6人，江西省新世纪百千万人才工程第一、第二层次人选2人，博士生导师1人</w:t>
      </w:r>
      <w:r>
        <w:rPr>
          <w:rFonts w:ascii="Times New Roman" w:eastAsia="宋体" w:hAnsi="Times New Roman" w:cs="宋体" w:hint="eastAsia"/>
          <w:spacing w:val="11"/>
          <w:sz w:val="28"/>
          <w:szCs w:val="28"/>
        </w:rPr>
        <w:t>。</w:t>
      </w:r>
      <w:r>
        <w:rPr>
          <w:rFonts w:ascii="Times New Roman" w:eastAsia="宋体" w:hAnsi="Times New Roman" w:cs="宋体" w:hint="eastAsia"/>
          <w:spacing w:val="11"/>
          <w:sz w:val="28"/>
          <w:szCs w:val="28"/>
        </w:rPr>
        <w:t>2022</w:t>
      </w:r>
      <w:r>
        <w:rPr>
          <w:rFonts w:ascii="Times New Roman" w:eastAsia="宋体" w:hAnsi="Times New Roman" w:cs="宋体" w:hint="eastAsia"/>
          <w:spacing w:val="11"/>
          <w:sz w:val="28"/>
          <w:szCs w:val="28"/>
        </w:rPr>
        <w:t>年本学科获批国家基金</w:t>
      </w:r>
      <w:r>
        <w:rPr>
          <w:rFonts w:ascii="Times New Roman" w:eastAsia="宋体" w:hAnsi="Times New Roman" w:cs="宋体" w:hint="eastAsia"/>
          <w:spacing w:val="11"/>
          <w:sz w:val="28"/>
          <w:szCs w:val="28"/>
        </w:rPr>
        <w:t>2</w:t>
      </w:r>
      <w:r>
        <w:rPr>
          <w:rFonts w:ascii="Times New Roman" w:eastAsia="宋体" w:hAnsi="Times New Roman" w:cs="宋体" w:hint="eastAsia"/>
          <w:spacing w:val="11"/>
          <w:sz w:val="28"/>
          <w:szCs w:val="28"/>
        </w:rPr>
        <w:t>项，省级科研项目</w:t>
      </w:r>
      <w:r>
        <w:rPr>
          <w:rFonts w:ascii="Times New Roman" w:eastAsia="宋体" w:hAnsi="Times New Roman" w:cs="宋体" w:hint="eastAsia"/>
          <w:spacing w:val="11"/>
          <w:sz w:val="28"/>
          <w:szCs w:val="28"/>
        </w:rPr>
        <w:t>11</w:t>
      </w:r>
      <w:r>
        <w:rPr>
          <w:rFonts w:ascii="Times New Roman" w:eastAsia="宋体" w:hAnsi="Times New Roman" w:cs="宋体" w:hint="eastAsia"/>
          <w:spacing w:val="11"/>
          <w:sz w:val="28"/>
          <w:szCs w:val="28"/>
        </w:rPr>
        <w:t>项，纵向科研经费达到</w:t>
      </w:r>
      <w:r>
        <w:rPr>
          <w:rFonts w:ascii="Times New Roman" w:eastAsia="宋体" w:hAnsi="Times New Roman" w:cs="宋体" w:hint="eastAsia"/>
          <w:spacing w:val="11"/>
          <w:sz w:val="28"/>
          <w:szCs w:val="28"/>
        </w:rPr>
        <w:t>180</w:t>
      </w:r>
      <w:r>
        <w:rPr>
          <w:rFonts w:ascii="Times New Roman" w:eastAsia="宋体" w:hAnsi="Times New Roman" w:cs="宋体" w:hint="eastAsia"/>
          <w:spacing w:val="11"/>
          <w:sz w:val="28"/>
          <w:szCs w:val="28"/>
        </w:rPr>
        <w:t>余万元，横向科研经费达到</w:t>
      </w:r>
      <w:r>
        <w:rPr>
          <w:rFonts w:ascii="Times New Roman" w:eastAsia="宋体" w:hAnsi="Times New Roman" w:cs="宋体" w:hint="eastAsia"/>
          <w:spacing w:val="11"/>
          <w:sz w:val="28"/>
          <w:szCs w:val="28"/>
        </w:rPr>
        <w:t>80</w:t>
      </w:r>
      <w:r>
        <w:rPr>
          <w:rFonts w:ascii="Times New Roman" w:eastAsia="宋体" w:hAnsi="Times New Roman" w:cs="宋体" w:hint="eastAsia"/>
          <w:spacing w:val="11"/>
          <w:sz w:val="28"/>
          <w:szCs w:val="28"/>
        </w:rPr>
        <w:t>余万元。获批江西省高校研究生“课程思政”示范课</w:t>
      </w:r>
      <w:r>
        <w:rPr>
          <w:rFonts w:ascii="Times New Roman" w:eastAsia="宋体" w:hAnsi="Times New Roman" w:cs="宋体" w:hint="eastAsia"/>
          <w:spacing w:val="11"/>
          <w:sz w:val="28"/>
          <w:szCs w:val="28"/>
        </w:rPr>
        <w:t>1</w:t>
      </w:r>
      <w:r>
        <w:rPr>
          <w:rFonts w:ascii="Times New Roman" w:eastAsia="宋体" w:hAnsi="Times New Roman" w:cs="宋体" w:hint="eastAsia"/>
          <w:spacing w:val="11"/>
          <w:sz w:val="28"/>
          <w:szCs w:val="28"/>
        </w:rPr>
        <w:t>项，获批三项省级研究生教改课题，研究生层次省级教学成果奖二等奖</w:t>
      </w:r>
      <w:r>
        <w:rPr>
          <w:rFonts w:ascii="Times New Roman" w:eastAsia="宋体" w:hAnsi="Times New Roman" w:cs="宋体" w:hint="eastAsia"/>
          <w:spacing w:val="11"/>
          <w:sz w:val="28"/>
          <w:szCs w:val="28"/>
        </w:rPr>
        <w:t>1</w:t>
      </w:r>
      <w:r>
        <w:rPr>
          <w:rFonts w:ascii="Times New Roman" w:eastAsia="宋体" w:hAnsi="Times New Roman" w:cs="宋体" w:hint="eastAsia"/>
          <w:spacing w:val="11"/>
          <w:sz w:val="28"/>
          <w:szCs w:val="28"/>
        </w:rPr>
        <w:t>项，获批十二批江西省研究生优质课程建设</w:t>
      </w:r>
      <w:r>
        <w:rPr>
          <w:rFonts w:ascii="Times New Roman" w:eastAsia="宋体" w:hAnsi="Times New Roman" w:cs="宋体" w:hint="eastAsia"/>
          <w:spacing w:val="11"/>
          <w:sz w:val="28"/>
          <w:szCs w:val="28"/>
        </w:rPr>
        <w:t>1</w:t>
      </w:r>
      <w:r>
        <w:rPr>
          <w:rFonts w:ascii="Times New Roman" w:eastAsia="宋体" w:hAnsi="Times New Roman" w:cs="宋体" w:hint="eastAsia"/>
          <w:spacing w:val="11"/>
          <w:sz w:val="28"/>
          <w:szCs w:val="28"/>
        </w:rPr>
        <w:t>项。在</w:t>
      </w:r>
      <w:r>
        <w:rPr>
          <w:rFonts w:ascii="Times New Roman" w:eastAsia="宋体" w:hAnsi="Times New Roman" w:cs="宋体" w:hint="eastAsia"/>
          <w:spacing w:val="11"/>
          <w:sz w:val="28"/>
          <w:szCs w:val="28"/>
        </w:rPr>
        <w:t>SCI/SSCI/CSSCI/CSCD/</w:t>
      </w:r>
      <w:r>
        <w:rPr>
          <w:rFonts w:ascii="Times New Roman" w:eastAsia="宋体" w:hAnsi="Times New Roman" w:cs="宋体" w:hint="eastAsia"/>
          <w:spacing w:val="11"/>
          <w:sz w:val="28"/>
          <w:szCs w:val="28"/>
        </w:rPr>
        <w:t>北大中文核心等期刊发表学术论文</w:t>
      </w:r>
      <w:r>
        <w:rPr>
          <w:rFonts w:ascii="Times New Roman" w:eastAsia="宋体" w:hAnsi="Times New Roman" w:cs="宋体" w:hint="eastAsia"/>
          <w:spacing w:val="11"/>
          <w:sz w:val="28"/>
          <w:szCs w:val="28"/>
        </w:rPr>
        <w:t>50</w:t>
      </w:r>
      <w:r>
        <w:rPr>
          <w:rFonts w:ascii="Times New Roman" w:eastAsia="宋体" w:hAnsi="Times New Roman" w:cs="宋体" w:hint="eastAsia"/>
          <w:spacing w:val="11"/>
          <w:sz w:val="28"/>
          <w:szCs w:val="28"/>
        </w:rPr>
        <w:t>余篇，出版学术专著</w:t>
      </w:r>
      <w:r>
        <w:rPr>
          <w:rFonts w:ascii="Times New Roman" w:eastAsia="宋体" w:hAnsi="Times New Roman" w:cs="宋体" w:hint="eastAsia"/>
          <w:spacing w:val="11"/>
          <w:sz w:val="28"/>
          <w:szCs w:val="28"/>
        </w:rPr>
        <w:t>3</w:t>
      </w:r>
      <w:r>
        <w:rPr>
          <w:rFonts w:ascii="Times New Roman" w:eastAsia="宋体" w:hAnsi="Times New Roman" w:cs="宋体" w:hint="eastAsia"/>
          <w:spacing w:val="11"/>
          <w:sz w:val="28"/>
          <w:szCs w:val="28"/>
        </w:rPr>
        <w:t>部。</w:t>
      </w:r>
    </w:p>
    <w:p w:rsidR="007961DA" w:rsidRDefault="00000000">
      <w:pPr>
        <w:spacing w:line="360" w:lineRule="auto"/>
        <w:ind w:firstLineChars="200" w:firstLine="640"/>
        <w:textAlignment w:val="baseline"/>
        <w:rPr>
          <w:rStyle w:val="NormalCharacter"/>
          <w:rFonts w:ascii="黑体" w:eastAsia="黑体" w:hAnsi="黑体" w:cs="黑体" w:hint="eastAsia"/>
          <w:szCs w:val="32"/>
        </w:rPr>
      </w:pPr>
      <w:r>
        <w:rPr>
          <w:rFonts w:ascii="黑体" w:eastAsia="黑体" w:hAnsi="黑体" w:cs="黑体" w:hint="eastAsia"/>
          <w:sz w:val="32"/>
          <w:szCs w:val="32"/>
        </w:rPr>
        <w:t>二、</w:t>
      </w:r>
      <w:r>
        <w:rPr>
          <w:rStyle w:val="NormalCharacter"/>
          <w:rFonts w:ascii="黑体" w:eastAsia="黑体" w:hAnsi="黑体" w:cs="黑体" w:hint="eastAsia"/>
          <w:szCs w:val="32"/>
        </w:rPr>
        <w:t>研究生党建与思想政治教育工作</w:t>
      </w:r>
    </w:p>
    <w:p w:rsidR="007961DA" w:rsidRDefault="00000000">
      <w:pPr>
        <w:spacing w:line="360" w:lineRule="auto"/>
        <w:ind w:firstLineChars="200" w:firstLine="560"/>
        <w:rPr>
          <w:rStyle w:val="NormalCharacter"/>
          <w:rFonts w:ascii="宋体" w:eastAsia="宋体" w:hAnsi="宋体" w:cs="宋体" w:hint="eastAsia"/>
          <w:sz w:val="28"/>
          <w:szCs w:val="28"/>
        </w:rPr>
      </w:pPr>
      <w:r>
        <w:rPr>
          <w:rFonts w:ascii="宋体" w:eastAsia="宋体" w:hAnsi="宋体" w:cs="宋体" w:hint="eastAsia"/>
          <w:sz w:val="28"/>
          <w:szCs w:val="28"/>
        </w:rPr>
        <w:t>（一）</w:t>
      </w:r>
      <w:r>
        <w:rPr>
          <w:rStyle w:val="NormalCharacter"/>
          <w:rFonts w:ascii="宋体" w:eastAsia="宋体" w:hAnsi="宋体" w:cs="宋体" w:hint="eastAsia"/>
          <w:sz w:val="28"/>
          <w:szCs w:val="28"/>
        </w:rPr>
        <w:t>思想政治教育队伍建设</w:t>
      </w:r>
    </w:p>
    <w:p w:rsidR="007961DA" w:rsidRDefault="00000000">
      <w:pPr>
        <w:spacing w:line="560" w:lineRule="exact"/>
        <w:ind w:firstLineChars="200" w:firstLine="580"/>
        <w:outlineLvl w:val="0"/>
        <w:rPr>
          <w:rFonts w:ascii="宋体" w:eastAsia="宋体" w:hAnsi="宋体" w:cs="宋体" w:hint="eastAsia"/>
          <w:spacing w:val="5"/>
          <w:sz w:val="28"/>
          <w:szCs w:val="28"/>
        </w:rPr>
      </w:pPr>
      <w:r>
        <w:rPr>
          <w:rFonts w:ascii="宋体" w:eastAsia="宋体" w:hAnsi="宋体" w:cs="宋体" w:hint="eastAsia"/>
          <w:spacing w:val="5"/>
          <w:sz w:val="28"/>
          <w:szCs w:val="28"/>
        </w:rPr>
        <w:t>学院党委组织机构配置齐全，且能够结合高校党建实际情况，</w:t>
      </w:r>
      <w:r>
        <w:rPr>
          <w:rFonts w:ascii="宋体" w:eastAsia="宋体" w:hAnsi="宋体" w:cs="宋体" w:hint="eastAsia"/>
          <w:sz w:val="28"/>
          <w:szCs w:val="28"/>
        </w:rPr>
        <w:t xml:space="preserve"> </w:t>
      </w:r>
      <w:r>
        <w:rPr>
          <w:rFonts w:ascii="宋体" w:eastAsia="宋体" w:hAnsi="宋体" w:cs="宋体" w:hint="eastAsia"/>
          <w:spacing w:val="7"/>
          <w:sz w:val="28"/>
          <w:szCs w:val="28"/>
        </w:rPr>
        <w:t>创新基层党建组织模式。同时，学院专职党</w:t>
      </w:r>
      <w:r>
        <w:rPr>
          <w:rFonts w:ascii="宋体" w:eastAsia="宋体" w:hAnsi="宋体" w:cs="宋体" w:hint="eastAsia"/>
          <w:spacing w:val="5"/>
          <w:sz w:val="28"/>
          <w:szCs w:val="28"/>
        </w:rPr>
        <w:t>建思想政治教育队伍配备齐全，现有专职的党建人员如下：书记 1 名（专职），副书记 1 名 （专职），4名党委委员。学院围绕“立德树人”根本任务，牢固树立以学生为中心的理念，坚持育人导向和问题导向，不断搭建全方位育人平台、优化协同育人过程、凝聚全员育人合力、把思想政治教育融入学生发展全过程，</w:t>
      </w:r>
      <w:r>
        <w:rPr>
          <w:rFonts w:ascii="宋体" w:eastAsia="宋体" w:hAnsi="宋体" w:cs="宋体" w:hint="eastAsia"/>
          <w:spacing w:val="5"/>
          <w:sz w:val="28"/>
          <w:szCs w:val="28"/>
        </w:rPr>
        <w:lastRenderedPageBreak/>
        <w:t>助推学生全面成长成才。坚持用习近平新时代中国特色社会主义思想铸魂育人，大力弘扬伟大建党精神、航空报国精神、抗疫精神等，引导学生坚定理想信念，厚植家国情怀，牢记“国之大者”。</w:t>
      </w:r>
    </w:p>
    <w:p w:rsidR="007961DA" w:rsidRDefault="00000000">
      <w:pPr>
        <w:spacing w:line="560" w:lineRule="exact"/>
        <w:ind w:firstLineChars="200" w:firstLine="580"/>
        <w:outlineLvl w:val="0"/>
        <w:rPr>
          <w:rFonts w:ascii="宋体" w:eastAsia="宋体" w:hAnsi="宋体" w:cs="宋体" w:hint="eastAsia"/>
          <w:spacing w:val="5"/>
          <w:sz w:val="28"/>
          <w:szCs w:val="28"/>
        </w:rPr>
      </w:pPr>
      <w:r>
        <w:rPr>
          <w:rFonts w:ascii="宋体" w:eastAsia="宋体" w:hAnsi="宋体" w:cs="宋体" w:hint="eastAsia"/>
          <w:spacing w:val="5"/>
          <w:sz w:val="28"/>
          <w:szCs w:val="28"/>
        </w:rPr>
        <w:t>学院建设有“温润书吧” 、新时代文明实践站、党员活动室、“双带头人”教师支部书记工作室、党群之家等活动阵地，同时大力建设有宣传栏、文化长廊、官微、网站等思政宣传阵地；通过实施“党建双领双同计划” ，学生“四自”骨干培育计划，创新思政工作机制，形成了专业完善的研究生思政工作体系。</w:t>
      </w:r>
    </w:p>
    <w:p w:rsidR="007961DA" w:rsidRDefault="00000000">
      <w:pPr>
        <w:spacing w:line="560" w:lineRule="exact"/>
        <w:ind w:firstLineChars="200" w:firstLine="580"/>
        <w:outlineLvl w:val="0"/>
        <w:rPr>
          <w:rFonts w:ascii="宋体" w:eastAsia="宋体" w:hAnsi="宋体" w:cs="宋体" w:hint="eastAsia"/>
          <w:spacing w:val="5"/>
          <w:sz w:val="28"/>
          <w:szCs w:val="28"/>
        </w:rPr>
      </w:pPr>
      <w:r>
        <w:rPr>
          <w:rFonts w:ascii="宋体" w:eastAsia="宋体" w:hAnsi="宋体" w:cs="宋体" w:hint="eastAsia"/>
          <w:spacing w:val="5"/>
          <w:sz w:val="28"/>
          <w:szCs w:val="28"/>
        </w:rPr>
        <w:t>（二）理想信念和社会主义核心价值观教育</w:t>
      </w:r>
    </w:p>
    <w:p w:rsidR="007961DA" w:rsidRDefault="00000000">
      <w:pPr>
        <w:spacing w:line="560" w:lineRule="exact"/>
        <w:ind w:firstLineChars="200" w:firstLine="580"/>
        <w:outlineLvl w:val="0"/>
        <w:rPr>
          <w:rFonts w:ascii="宋体" w:eastAsia="宋体" w:hAnsi="宋体" w:cs="宋体" w:hint="eastAsia"/>
          <w:spacing w:val="5"/>
          <w:sz w:val="28"/>
          <w:szCs w:val="28"/>
        </w:rPr>
      </w:pPr>
      <w:r>
        <w:rPr>
          <w:rFonts w:ascii="宋体" w:eastAsia="宋体" w:hAnsi="宋体" w:cs="宋体" w:hint="eastAsia"/>
          <w:spacing w:val="5"/>
          <w:sz w:val="28"/>
          <w:szCs w:val="28"/>
        </w:rPr>
        <w:t>学院紧紧围绕立德树人的根本任务，为党育人、为国育才，始终把党的政治建设摆在首位，通过双带头人支部书记工作室，引领带动研究生支部开展各项学习教育活动，加强理想信念和社会主义核心价值观教育，成效显著。</w:t>
      </w:r>
    </w:p>
    <w:p w:rsidR="007961DA" w:rsidRDefault="00000000">
      <w:pPr>
        <w:spacing w:line="560" w:lineRule="exact"/>
        <w:ind w:firstLineChars="200" w:firstLine="580"/>
        <w:outlineLvl w:val="0"/>
        <w:rPr>
          <w:rFonts w:ascii="宋体" w:eastAsia="宋体" w:hAnsi="宋体" w:cs="宋体" w:hint="eastAsia"/>
          <w:spacing w:val="5"/>
          <w:sz w:val="28"/>
          <w:szCs w:val="28"/>
        </w:rPr>
      </w:pPr>
      <w:r>
        <w:rPr>
          <w:rFonts w:ascii="宋体" w:eastAsia="宋体" w:hAnsi="宋体" w:cs="宋体" w:hint="eastAsia"/>
          <w:spacing w:val="5"/>
          <w:sz w:val="28"/>
          <w:szCs w:val="28"/>
        </w:rPr>
        <w:t>一是强化党建引领。充分发挥学院分党校、分团校思想阵地作用。今年共开展党员教育10次、新生入党启蒙教育，培养研究生入党积极分子10名。</w:t>
      </w:r>
    </w:p>
    <w:p w:rsidR="007961DA" w:rsidRDefault="00000000">
      <w:pPr>
        <w:spacing w:line="560" w:lineRule="exact"/>
        <w:ind w:firstLineChars="200" w:firstLine="580"/>
        <w:outlineLvl w:val="0"/>
        <w:rPr>
          <w:rFonts w:ascii="宋体" w:eastAsia="宋体" w:hAnsi="宋体" w:cs="宋体" w:hint="eastAsia"/>
          <w:spacing w:val="5"/>
          <w:sz w:val="28"/>
          <w:szCs w:val="28"/>
        </w:rPr>
      </w:pPr>
      <w:r>
        <w:rPr>
          <w:rFonts w:ascii="宋体" w:eastAsia="宋体" w:hAnsi="宋体" w:cs="宋体" w:hint="eastAsia"/>
          <w:spacing w:val="5"/>
          <w:sz w:val="28"/>
          <w:szCs w:val="28"/>
        </w:rPr>
        <w:t>二是强化网络思政。推进研究生学生工作信息化建设，强化学院官微、“经管青年”团委官微、“经管元宝”QQ 账号、“时代经管”微博账号等媒体平台建设，重点打造好“榜样力量”“经纬大讲堂”“南航青年说”“我为同学办实事”等特色栏目，创新指尖上的思政教育，提升网络育人成效。</w:t>
      </w:r>
    </w:p>
    <w:p w:rsidR="007961DA" w:rsidRDefault="00000000">
      <w:pPr>
        <w:spacing w:line="560" w:lineRule="exact"/>
        <w:ind w:firstLineChars="200" w:firstLine="580"/>
        <w:outlineLvl w:val="0"/>
        <w:rPr>
          <w:rFonts w:ascii="宋体" w:eastAsia="宋体" w:hAnsi="宋体" w:cs="宋体" w:hint="eastAsia"/>
          <w:spacing w:val="5"/>
          <w:sz w:val="28"/>
          <w:szCs w:val="28"/>
        </w:rPr>
      </w:pPr>
      <w:r>
        <w:rPr>
          <w:rFonts w:ascii="宋体" w:eastAsia="宋体" w:hAnsi="宋体" w:cs="宋体" w:hint="eastAsia"/>
          <w:spacing w:val="5"/>
          <w:sz w:val="28"/>
          <w:szCs w:val="28"/>
        </w:rPr>
        <w:t>三是强化主题教育。抓实抓细新生入学教育、行为规范教育，将思</w:t>
      </w:r>
      <w:r>
        <w:rPr>
          <w:rFonts w:ascii="宋体" w:eastAsia="宋体" w:hAnsi="宋体" w:cs="宋体" w:hint="eastAsia"/>
          <w:spacing w:val="5"/>
          <w:sz w:val="28"/>
          <w:szCs w:val="28"/>
        </w:rPr>
        <w:lastRenderedPageBreak/>
        <w:t>政教育融入并贯穿学生大学生涯全过程。持续开展“院长约吧、教授约吧等活动，面对面交流，切实在解决实际问题中提升思政工作实效。</w:t>
      </w:r>
    </w:p>
    <w:p w:rsidR="007961DA" w:rsidRDefault="00000000">
      <w:pPr>
        <w:spacing w:line="560" w:lineRule="exact"/>
        <w:ind w:firstLineChars="200" w:firstLine="580"/>
        <w:outlineLvl w:val="0"/>
        <w:rPr>
          <w:rFonts w:ascii="宋体" w:eastAsia="宋体" w:hAnsi="宋体" w:cs="宋体" w:hint="eastAsia"/>
          <w:spacing w:val="5"/>
          <w:sz w:val="28"/>
          <w:szCs w:val="28"/>
        </w:rPr>
      </w:pPr>
      <w:r>
        <w:rPr>
          <w:rFonts w:ascii="宋体" w:eastAsia="宋体" w:hAnsi="宋体" w:cs="宋体" w:hint="eastAsia"/>
          <w:spacing w:val="5"/>
          <w:sz w:val="28"/>
          <w:szCs w:val="28"/>
        </w:rPr>
        <w:t>四是强化航空国防教育。开展“爱我国防”主题班会、“航空人故事”讲述会等系列航空国防教育活动，培养学生航空报国精神。</w:t>
      </w:r>
    </w:p>
    <w:p w:rsidR="007961DA" w:rsidRDefault="00000000">
      <w:pPr>
        <w:spacing w:line="560" w:lineRule="exact"/>
        <w:ind w:firstLineChars="200" w:firstLine="580"/>
        <w:outlineLvl w:val="0"/>
        <w:rPr>
          <w:rFonts w:ascii="宋体" w:eastAsia="宋体" w:hAnsi="宋体" w:cs="宋体" w:hint="eastAsia"/>
          <w:spacing w:val="5"/>
          <w:sz w:val="28"/>
          <w:szCs w:val="28"/>
        </w:rPr>
      </w:pPr>
      <w:r>
        <w:rPr>
          <w:rFonts w:ascii="宋体" w:eastAsia="宋体" w:hAnsi="宋体" w:cs="宋体" w:hint="eastAsia"/>
          <w:spacing w:val="5"/>
          <w:sz w:val="28"/>
          <w:szCs w:val="28"/>
        </w:rPr>
        <w:t>（三）校园文化建设</w:t>
      </w:r>
    </w:p>
    <w:p w:rsidR="007961DA" w:rsidRPr="00AA4E08" w:rsidRDefault="00000000">
      <w:pPr>
        <w:spacing w:line="560" w:lineRule="exact"/>
        <w:ind w:firstLineChars="200" w:firstLine="580"/>
        <w:outlineLvl w:val="0"/>
        <w:rPr>
          <w:rFonts w:ascii="宋体" w:eastAsia="宋体" w:hAnsi="宋体" w:cs="宋体" w:hint="eastAsia"/>
          <w:spacing w:val="5"/>
          <w:sz w:val="28"/>
          <w:szCs w:val="28"/>
        </w:rPr>
      </w:pPr>
      <w:r>
        <w:rPr>
          <w:rFonts w:ascii="宋体" w:eastAsia="宋体" w:hAnsi="宋体" w:cs="宋体" w:hint="eastAsia"/>
          <w:spacing w:val="5"/>
          <w:sz w:val="28"/>
          <w:szCs w:val="28"/>
        </w:rPr>
        <w:t>学院从人才培养目标出发，着力学生创新意识与综合实践能力的培养，引导学生将知识转化为技能和解决实际问题的能力，增强了学生创新创业能力与就业核心竞争力。一是狠抓志愿服务。举行“第十届手工DIY及纪念品义卖大赛”，筹集善款1614元用于爱心公益事业；定期探望退休职工，带去爱心物资，关心他们的生活状况，弘扬尊师重教的优良传统；开展整理图书、清扫校园、走进敬老院等志愿活动，在志愿服务中融入劳动教育、感恩教育、爱国主义教育等，使学生增强了社会责任感。二是狠抓品牌活动。以科技文化节、经纬大讲堂等专业活动，强化专业技能，提升专业素养；以运动会、羽毛球、三下乡社会实践、榜样的力量等活动丰富校园文化的内容；今年荣获校运动会“道德风尚奖”、校羽毛球比赛一等奖。三是狠抓科技创新</w:t>
      </w:r>
      <w:r w:rsidRPr="00AA4E08">
        <w:rPr>
          <w:rFonts w:ascii="宋体" w:eastAsia="宋体" w:hAnsi="宋体" w:cs="宋体" w:hint="eastAsia"/>
          <w:spacing w:val="5"/>
          <w:sz w:val="28"/>
          <w:szCs w:val="28"/>
        </w:rPr>
        <w:t>。积极鼓励学生参与科技创新、三小课题研究，促进学生创新意识、创新精神和创新能力的培养。</w:t>
      </w:r>
    </w:p>
    <w:p w:rsidR="007961DA" w:rsidRDefault="00000000">
      <w:pPr>
        <w:spacing w:line="560" w:lineRule="exact"/>
        <w:ind w:firstLineChars="200" w:firstLine="580"/>
        <w:outlineLvl w:val="0"/>
        <w:rPr>
          <w:rFonts w:ascii="宋体" w:eastAsia="宋体" w:hAnsi="宋体" w:cs="宋体" w:hint="eastAsia"/>
          <w:spacing w:val="5"/>
          <w:sz w:val="28"/>
          <w:szCs w:val="28"/>
        </w:rPr>
      </w:pPr>
      <w:r w:rsidRPr="00AA4E08">
        <w:rPr>
          <w:rFonts w:ascii="宋体" w:eastAsia="宋体" w:hAnsi="宋体" w:cs="宋体" w:hint="eastAsia"/>
          <w:spacing w:val="5"/>
          <w:sz w:val="28"/>
          <w:szCs w:val="28"/>
        </w:rPr>
        <w:t>（四）日常管理服务工作</w:t>
      </w:r>
    </w:p>
    <w:p w:rsidR="007961DA" w:rsidRDefault="00000000">
      <w:pPr>
        <w:spacing w:line="560" w:lineRule="exact"/>
        <w:ind w:firstLineChars="200" w:firstLine="580"/>
        <w:outlineLvl w:val="0"/>
        <w:rPr>
          <w:rFonts w:ascii="宋体" w:eastAsia="宋体" w:hAnsi="宋体" w:cs="宋体" w:hint="eastAsia"/>
          <w:spacing w:val="5"/>
          <w:sz w:val="28"/>
          <w:szCs w:val="28"/>
        </w:rPr>
      </w:pPr>
      <w:r>
        <w:rPr>
          <w:rFonts w:ascii="宋体" w:eastAsia="宋体" w:hAnsi="宋体" w:cs="宋体" w:hint="eastAsia"/>
          <w:spacing w:val="5"/>
          <w:sz w:val="28"/>
          <w:szCs w:val="28"/>
        </w:rPr>
        <w:t>学院形成了完善的研究生日常管理工作体系。学院配有一名副院长专管研究生工作，一名专职辅导员负责日常思想政治教育，每个年级配备一名教师担任学生党支部书记，一名教师担任班主任。同时依托双带头人支部书记工作室，带动引领开展研究生开展党建和思政教育；充分</w:t>
      </w:r>
      <w:r>
        <w:rPr>
          <w:rFonts w:ascii="宋体" w:eastAsia="宋体" w:hAnsi="宋体" w:cs="宋体" w:hint="eastAsia"/>
          <w:spacing w:val="5"/>
          <w:sz w:val="28"/>
          <w:szCs w:val="28"/>
        </w:rPr>
        <w:lastRenderedPageBreak/>
        <w:t>发挥研究生支部、班委和研究生党员“卓越领航工程”作用，将四自教育的实质内涵渗透到日常工作中，在各方面取得了较为显著的成效，充分发挥了高校立德树人的积极作用。</w:t>
      </w:r>
    </w:p>
    <w:p w:rsidR="007961DA" w:rsidRDefault="00000000">
      <w:pPr>
        <w:spacing w:line="360" w:lineRule="auto"/>
        <w:ind w:firstLineChars="200" w:firstLine="640"/>
        <w:textAlignment w:val="baseline"/>
        <w:rPr>
          <w:rFonts w:ascii="仿宋_GB2312" w:eastAsia="仿宋_GB2312" w:hAnsi="方正仿宋简体" w:cs="方正仿宋简体" w:hint="eastAsia"/>
          <w:sz w:val="32"/>
          <w:szCs w:val="32"/>
        </w:rPr>
      </w:pPr>
      <w:r>
        <w:rPr>
          <w:rStyle w:val="NormalCharacter"/>
          <w:rFonts w:ascii="黑体" w:eastAsia="黑体" w:hAnsi="黑体" w:cs="黑体" w:hint="eastAsia"/>
          <w:szCs w:val="32"/>
        </w:rPr>
        <w:t>三、研究生培养相关制度及执行情况</w:t>
      </w:r>
    </w:p>
    <w:p w:rsidR="007961DA"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（一）课程建设与实施情况</w:t>
      </w:r>
    </w:p>
    <w:p w:rsidR="007961DA"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2022年上半年，学位点研究生开设课程 21门次，下半年，开设研究生课程8门次。学位点坚持立德树人，在教学过程中，将思政元素贯穿课堂和实践教学，采用“学生评价教学、同行互评教学、督导评估教学”的方式，并重强调“监督检查”与“专业指导”的作用。在教材选用中，根据《南昌航空大学教材管</w:t>
      </w:r>
      <w:r>
        <w:rPr>
          <w:rFonts w:ascii="宋体" w:eastAsia="宋体" w:hAnsi="宋体" w:cs="宋体" w:hint="eastAsia"/>
          <w:spacing w:val="11"/>
          <w:sz w:val="28"/>
          <w:szCs w:val="28"/>
        </w:rPr>
        <w:t>理办法（2021修订）》把好教材审核关。积极组织任课教师申报江</w:t>
      </w:r>
      <w:r>
        <w:rPr>
          <w:rFonts w:ascii="宋体" w:eastAsia="宋体" w:hAnsi="宋体" w:cs="宋体" w:hint="eastAsia"/>
          <w:spacing w:val="-3"/>
          <w:sz w:val="28"/>
          <w:szCs w:val="28"/>
        </w:rPr>
        <w:t>西省研究生“课程思政示范项目”，取得了一定的成效。组建课程教学团队，主要课程均由2人以上的教师团队教学，提升教学质量。</w:t>
      </w:r>
    </w:p>
    <w:p w:rsidR="007961DA"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（二）导师选拔培训</w:t>
      </w:r>
    </w:p>
    <w:p w:rsidR="007961DA"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依据学校文件，学科点每年开展一次新增硕士研究生指导教师资格遴选工作，并出台导师动态上岗招生文件和师生双选办法。在导师选聘过程中，严把政治思想关，将思想过硬、政治素质强，学术水平高、实践能力强的教师聘用为导师。</w:t>
      </w:r>
      <w:bookmarkStart w:id="0" w:name="bookmark41"/>
      <w:bookmarkEnd w:id="0"/>
      <w:r>
        <w:rPr>
          <w:rFonts w:ascii="宋体" w:eastAsia="宋体" w:hAnsi="宋体" w:cs="宋体" w:hint="eastAsia"/>
          <w:spacing w:val="-3"/>
          <w:sz w:val="28"/>
          <w:szCs w:val="28"/>
        </w:rPr>
        <w:t>学位点通过请进来、走出去等多种方式开展导师的教学、科研能力培训，2022年参加各类教学研讨、学术交流和课程培训达30人次。对导师进行教学评价，实行自我评价、学生评价、教学督导相结合的教学评价制度。依据省级和学校文件，学科点每3年开展导师能力评价工作，严格按照评价指标体系审核，审核不合格的导师取消下一年度招生资格。</w:t>
      </w:r>
    </w:p>
    <w:p w:rsidR="007961DA"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lastRenderedPageBreak/>
        <w:t>（三）师德师风建设</w:t>
      </w:r>
    </w:p>
    <w:p w:rsidR="007961DA"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成立了由院长、书记担任组长，分管副院长担任副组长，各系主任、党支部书记为成员的师德师风建设领导小组。领导小组负责制定师德师风建设规划、组织落实各项工作。本学位点以立德树人为核心， 着力师德师风建设。根据《南昌航空大学师德师风建设实施细则》《南昌航空大学教师职业道德规范》《南昌航空大学教师行</w:t>
      </w:r>
      <w:r w:rsidRPr="00297BD4">
        <w:rPr>
          <w:rFonts w:ascii="宋体" w:eastAsia="宋体" w:hAnsi="宋体" w:cs="宋体" w:hint="eastAsia"/>
          <w:spacing w:val="-3"/>
          <w:sz w:val="28"/>
          <w:szCs w:val="28"/>
        </w:rPr>
        <w:t>为准则》《南昌航空大学关于全面深化新时代人才队伍建设改革的实施意见》精神，制定了《经济管理学院加强师德师风建设的实施细则》等系列文件， 实施师德师风负面处理机制，规范教师履职履责行为，在导师队伍选聘、评优评先等方面，将师德表现作为首要条件，对师德师风问题实行一票否决。</w:t>
      </w:r>
    </w:p>
    <w:p w:rsidR="007961DA"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强化考核监督，严格把关师德师风，通过公开投诉电话和设立投诉信箱，接受对教师师德师风的投诉，加强对教师的言行监管。本学位点通过开展教育教学思想大讨论、教师岗前培训、入职宣誓仪式、签订师德承诺书等多种形式，推动教师以学习养正气、行动立师德。</w:t>
      </w:r>
    </w:p>
    <w:p w:rsidR="007961DA"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开展主题教育活动，通过组织教师集中学习《中华人民共和国教师法》《新时代高校教师职业行为十项准则》等文件，强化教师的思想政治教育和师德师风学习教育。通过观看全国优秀教师代表的宣讲视频，激励教师学习榜样，引导广大教师自觉地养师德、树师表、练师能、铸师魂。定期召开师德师风警示教育大会，通报违反师德师风的典型 案例，引导教师引以为戒，强化纪律意识。</w:t>
      </w:r>
    </w:p>
    <w:p w:rsidR="007961DA"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lastRenderedPageBreak/>
        <w:t>（四）学术训练与学术交流</w:t>
      </w:r>
    </w:p>
    <w:p w:rsidR="007961DA"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根据学校文件规定定期组织研究生参加南昌航空大学研究生学术论坛，要求硕士生在学制内必须至少参加10次学术活动。听取和做学术报告后须撰写不少于1篇学术总结报告，由导师给出考查结论并记录成绩，该成绩在申请答辩前须提交答辩委员会。每年举办研究生学术讲座、经纬大讲堂等学术活动，取得了良好的效果。鼓励和支持研究生参加正大杯全国大学生市场调查与分析大赛（研究生）、中国研究生企业管理创新大赛、江西省研究生数学建模大赛等学科竞赛。积极组织研究生申请研究生创新专项项目、省级青马工程项目。2022年共投入30余万元支持研究生学术活动。承办了贯彻新</w:t>
      </w:r>
      <w:r w:rsidRPr="00297BD4">
        <w:rPr>
          <w:rFonts w:ascii="宋体" w:eastAsia="宋体" w:hAnsi="宋体" w:cs="宋体" w:hint="eastAsia"/>
          <w:spacing w:val="-3"/>
          <w:sz w:val="28"/>
          <w:szCs w:val="28"/>
        </w:rPr>
        <w:t>发展理念的经济学学科建设研讨会和第十届中国航空学会青年科技论坛之“智慧经济与航空创新发展”分论坛，在学术、行业界的声誉进一步彰显。</w:t>
      </w:r>
      <w:r w:rsidR="00BE7411" w:rsidRPr="00297BD4">
        <w:rPr>
          <w:rFonts w:ascii="宋体" w:eastAsia="宋体" w:hAnsi="宋体" w:cs="宋体" w:hint="eastAsia"/>
          <w:spacing w:val="-3"/>
          <w:sz w:val="28"/>
          <w:szCs w:val="28"/>
        </w:rPr>
        <w:t>厚</w:t>
      </w:r>
      <w:r w:rsidRPr="00297BD4">
        <w:rPr>
          <w:rFonts w:ascii="宋体" w:eastAsia="宋体" w:hAnsi="宋体" w:cs="宋体" w:hint="eastAsia"/>
          <w:spacing w:val="-3"/>
          <w:sz w:val="28"/>
          <w:szCs w:val="28"/>
        </w:rPr>
        <w:t>植学术底蕴，先后邀请了华南理工大学周永务教授、井冈山大学张泰城教授、西北工业大学司书宾、南昌大学陈熹副教授、江西财经大学杨头平教授、</w:t>
      </w:r>
      <w:r>
        <w:rPr>
          <w:rFonts w:ascii="宋体" w:eastAsia="宋体" w:hAnsi="宋体" w:cs="宋体" w:hint="eastAsia"/>
          <w:spacing w:val="-3"/>
          <w:sz w:val="28"/>
          <w:szCs w:val="28"/>
        </w:rPr>
        <w:t>浙江工业大学鲁建厦教授等20多位全国知名高校专家学者来校交流。</w:t>
      </w:r>
    </w:p>
    <w:p w:rsidR="007961DA"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（五）研究生奖助</w:t>
      </w:r>
    </w:p>
    <w:p w:rsidR="007961DA"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为提高研究生培养质量，促进研究生的科研积极性，通过奖助学金制度激励措施吸引了大批国内优秀学生，并已建立了完善的研究生奖助学金体系，有国家奖学金、国家助学金、江西省政府研究生奖学金、研究生学业奖学金、优秀学生奖学金，在国家级、省级、校级层面都有对应的资助，覆盖全面，资助总额 300多万，学生受益面广。</w:t>
      </w:r>
    </w:p>
    <w:p w:rsidR="007961DA"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lastRenderedPageBreak/>
        <w:t>设置“三助一辅”（助管、助教、助研、兼职辅导员）岗位，为学生提供工作补贴，保证研究生在校期间的学习和生活，4000-8000元/年/生，名额根据申请人数动态调整</w:t>
      </w:r>
      <w:r w:rsidR="003F0CCE">
        <w:rPr>
          <w:rFonts w:ascii="宋体" w:eastAsia="宋体" w:hAnsi="宋体" w:cs="宋体" w:hint="eastAsia"/>
          <w:spacing w:val="-3"/>
          <w:sz w:val="28"/>
          <w:szCs w:val="28"/>
        </w:rPr>
        <w:t>。</w:t>
      </w:r>
    </w:p>
    <w:p w:rsidR="007961DA" w:rsidRDefault="00000000">
      <w:pPr>
        <w:numPr>
          <w:ilvl w:val="0"/>
          <w:numId w:val="1"/>
        </w:numPr>
        <w:spacing w:line="360" w:lineRule="auto"/>
        <w:ind w:firstLineChars="200" w:firstLine="640"/>
        <w:textAlignment w:val="baseline"/>
        <w:rPr>
          <w:rStyle w:val="NormalCharacter"/>
          <w:rFonts w:ascii="黑体" w:eastAsia="黑体" w:hAnsi="黑体" w:cs="黑体" w:hint="eastAsia"/>
          <w:szCs w:val="32"/>
        </w:rPr>
      </w:pPr>
      <w:r>
        <w:rPr>
          <w:rStyle w:val="NormalCharacter"/>
          <w:rFonts w:ascii="黑体" w:eastAsia="黑体" w:hAnsi="黑体" w:cs="黑体" w:hint="eastAsia"/>
          <w:szCs w:val="32"/>
        </w:rPr>
        <w:t>研究生教育改革情况</w:t>
      </w:r>
    </w:p>
    <w:p w:rsidR="007961DA"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（一）人才培养</w:t>
      </w:r>
    </w:p>
    <w:p w:rsidR="007961DA" w:rsidRDefault="00000000">
      <w:pPr>
        <w:spacing w:line="360" w:lineRule="auto"/>
        <w:ind w:firstLine="607"/>
        <w:rPr>
          <w:rFonts w:ascii="宋体" w:eastAsia="宋体" w:hAnsi="宋体" w:cs="宋体" w:hint="eastAsia"/>
          <w:spacing w:val="-3"/>
          <w:sz w:val="28"/>
          <w:szCs w:val="28"/>
        </w:rPr>
      </w:pPr>
      <w:bookmarkStart w:id="1" w:name="bookmark36"/>
      <w:bookmarkStart w:id="2" w:name="bookmark35"/>
      <w:bookmarkEnd w:id="1"/>
      <w:bookmarkEnd w:id="2"/>
      <w:r w:rsidRPr="00837214">
        <w:rPr>
          <w:rFonts w:ascii="宋体" w:eastAsia="宋体" w:hAnsi="宋体" w:cs="宋体" w:hint="eastAsia"/>
          <w:color w:val="000000" w:themeColor="text1"/>
          <w:spacing w:val="-3"/>
          <w:sz w:val="28"/>
          <w:szCs w:val="28"/>
        </w:rPr>
        <w:t>严把论文选题和开题工作，从源头把控研究生论文质量。2022年学院16人通过盲审，16人顺利毕业。</w:t>
      </w:r>
      <w:r w:rsidRPr="00837214">
        <w:rPr>
          <w:rFonts w:ascii="Times New Roman" w:eastAsia="宋体" w:hAnsi="Times New Roman" w:cs="宋体" w:hint="eastAsia"/>
          <w:color w:val="000000" w:themeColor="text1"/>
          <w:spacing w:val="11"/>
          <w:sz w:val="28"/>
          <w:szCs w:val="28"/>
        </w:rPr>
        <w:t>立项</w:t>
      </w:r>
      <w:r w:rsidRPr="00837214">
        <w:rPr>
          <w:rFonts w:ascii="Times New Roman" w:eastAsia="宋体" w:hAnsi="Times New Roman" w:cs="宋体" w:hint="eastAsia"/>
          <w:color w:val="000000" w:themeColor="text1"/>
          <w:spacing w:val="11"/>
          <w:sz w:val="28"/>
          <w:szCs w:val="28"/>
        </w:rPr>
        <w:t>2</w:t>
      </w:r>
      <w:r w:rsidRPr="00837214">
        <w:rPr>
          <w:rFonts w:ascii="Times New Roman" w:eastAsia="宋体" w:hAnsi="Times New Roman" w:cs="宋体" w:hint="eastAsia"/>
          <w:color w:val="000000" w:themeColor="text1"/>
          <w:spacing w:val="11"/>
          <w:sz w:val="28"/>
          <w:szCs w:val="28"/>
        </w:rPr>
        <w:t>项江西省青年马克思主义者理论研究创新工程，立项</w:t>
      </w:r>
      <w:r w:rsidRPr="00837214">
        <w:rPr>
          <w:rFonts w:ascii="Times New Roman" w:eastAsia="宋体" w:hAnsi="Times New Roman" w:cs="宋体" w:hint="eastAsia"/>
          <w:color w:val="000000" w:themeColor="text1"/>
          <w:spacing w:val="11"/>
          <w:sz w:val="28"/>
          <w:szCs w:val="28"/>
        </w:rPr>
        <w:t>7</w:t>
      </w:r>
      <w:r w:rsidRPr="00837214">
        <w:rPr>
          <w:rFonts w:ascii="Times New Roman" w:eastAsia="宋体" w:hAnsi="Times New Roman" w:cs="宋体" w:hint="eastAsia"/>
          <w:color w:val="000000" w:themeColor="text1"/>
          <w:spacing w:val="11"/>
          <w:sz w:val="28"/>
          <w:szCs w:val="28"/>
        </w:rPr>
        <w:t>项研究生省级创新专项资金项目。参加各级各类研究生科技竞赛获奖，以赛促学的氛围日渐浓厚，</w:t>
      </w:r>
      <w:r>
        <w:rPr>
          <w:rFonts w:ascii="Times New Roman" w:eastAsia="宋体" w:hAnsi="Times New Roman" w:cs="宋体" w:hint="eastAsia"/>
          <w:spacing w:val="11"/>
          <w:sz w:val="28"/>
          <w:szCs w:val="28"/>
        </w:rPr>
        <w:t>获各类学科竞赛国家级奖项</w:t>
      </w:r>
      <w:r>
        <w:rPr>
          <w:rFonts w:ascii="Times New Roman" w:eastAsia="宋体" w:hAnsi="Times New Roman" w:cs="宋体" w:hint="eastAsia"/>
          <w:spacing w:val="11"/>
          <w:sz w:val="28"/>
          <w:szCs w:val="28"/>
        </w:rPr>
        <w:t>19</w:t>
      </w:r>
      <w:r>
        <w:rPr>
          <w:rFonts w:ascii="Times New Roman" w:eastAsia="宋体" w:hAnsi="Times New Roman" w:cs="宋体" w:hint="eastAsia"/>
          <w:spacing w:val="11"/>
          <w:sz w:val="28"/>
          <w:szCs w:val="28"/>
        </w:rPr>
        <w:t>项、省级</w:t>
      </w:r>
      <w:r>
        <w:rPr>
          <w:rFonts w:ascii="Times New Roman" w:eastAsia="宋体" w:hAnsi="Times New Roman" w:cs="宋体" w:hint="eastAsia"/>
          <w:spacing w:val="11"/>
          <w:sz w:val="28"/>
          <w:szCs w:val="28"/>
        </w:rPr>
        <w:t>16</w:t>
      </w:r>
      <w:r>
        <w:rPr>
          <w:rFonts w:ascii="Times New Roman" w:eastAsia="宋体" w:hAnsi="Times New Roman" w:cs="宋体" w:hint="eastAsia"/>
          <w:spacing w:val="11"/>
          <w:sz w:val="28"/>
          <w:szCs w:val="28"/>
        </w:rPr>
        <w:t>项、校级</w:t>
      </w:r>
      <w:r>
        <w:rPr>
          <w:rFonts w:ascii="Times New Roman" w:eastAsia="宋体" w:hAnsi="Times New Roman" w:cs="宋体" w:hint="eastAsia"/>
          <w:spacing w:val="11"/>
          <w:sz w:val="28"/>
          <w:szCs w:val="28"/>
        </w:rPr>
        <w:t>6</w:t>
      </w:r>
      <w:r>
        <w:rPr>
          <w:rFonts w:ascii="Times New Roman" w:eastAsia="宋体" w:hAnsi="Times New Roman" w:cs="宋体" w:hint="eastAsia"/>
          <w:spacing w:val="11"/>
          <w:sz w:val="28"/>
          <w:szCs w:val="28"/>
        </w:rPr>
        <w:t>项。</w:t>
      </w:r>
      <w:r>
        <w:rPr>
          <w:rFonts w:ascii="Times New Roman" w:eastAsia="宋体" w:hAnsi="Times New Roman" w:cs="宋体" w:hint="eastAsia"/>
          <w:spacing w:val="11"/>
          <w:sz w:val="28"/>
          <w:szCs w:val="28"/>
        </w:rPr>
        <w:t>2022</w:t>
      </w:r>
      <w:r>
        <w:rPr>
          <w:rFonts w:ascii="Times New Roman" w:eastAsia="宋体" w:hAnsi="Times New Roman" w:cs="宋体" w:hint="eastAsia"/>
          <w:spacing w:val="11"/>
          <w:sz w:val="28"/>
          <w:szCs w:val="28"/>
        </w:rPr>
        <w:t>年组织研究生积极参与国内外各种学术交流活动，其中</w:t>
      </w:r>
      <w:r>
        <w:rPr>
          <w:rFonts w:ascii="Times New Roman" w:eastAsia="宋体" w:hAnsi="Times New Roman" w:cs="宋体" w:hint="eastAsia"/>
          <w:spacing w:val="11"/>
          <w:sz w:val="28"/>
          <w:szCs w:val="28"/>
        </w:rPr>
        <w:t>20</w:t>
      </w:r>
      <w:r>
        <w:rPr>
          <w:rFonts w:ascii="Times New Roman" w:eastAsia="宋体" w:hAnsi="Times New Roman" w:cs="宋体" w:hint="eastAsia"/>
          <w:spacing w:val="11"/>
          <w:sz w:val="28"/>
          <w:szCs w:val="28"/>
        </w:rPr>
        <w:t>余人参加了贯彻新发展理念的经济学学科建设研讨会，</w:t>
      </w:r>
      <w:r>
        <w:rPr>
          <w:rFonts w:ascii="Times New Roman" w:eastAsia="宋体" w:hAnsi="Times New Roman" w:cs="宋体" w:hint="eastAsia"/>
          <w:spacing w:val="11"/>
          <w:sz w:val="28"/>
          <w:szCs w:val="28"/>
        </w:rPr>
        <w:t>40</w:t>
      </w:r>
      <w:r>
        <w:rPr>
          <w:rFonts w:ascii="Times New Roman" w:eastAsia="宋体" w:hAnsi="Times New Roman" w:cs="宋体" w:hint="eastAsia"/>
          <w:spacing w:val="11"/>
          <w:sz w:val="28"/>
          <w:szCs w:val="28"/>
        </w:rPr>
        <w:t>余人参加了第十届中国航空学会青年科技论坛之“智慧经济与航空创新发展”分论坛。</w:t>
      </w:r>
      <w:r>
        <w:rPr>
          <w:rFonts w:ascii="宋体" w:eastAsia="宋体" w:hAnsi="宋体" w:cs="宋体" w:hint="eastAsia"/>
          <w:spacing w:val="-3"/>
          <w:sz w:val="28"/>
          <w:szCs w:val="28"/>
        </w:rPr>
        <w:t>本学位点的教学及实验场所面积达2000平米；拥有管理思想、系统工程、航空产业等原版外文和中文图书期刊8000多册；计算机420余台，安装了ArcGIS、MATLAB、Python等学习软件，仪器设备总值达900余万元。教学设施和软件计算平台先进、数量充足，能充分满足教学、课程实验、模拟仿真等需求。各个实验室均接入学校信息中心，可进行大规模的计量模拟和资料查询。学位点先后与江铃汽车股份有限公司、江西航天红源农业科技有限公司等单位共建了15个研究生实践基地，为合作对象提供了长期科技咨询服务，一批成果得到应用。</w:t>
      </w:r>
    </w:p>
    <w:p w:rsidR="007961DA"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lastRenderedPageBreak/>
        <w:t>（二）教师队伍建设</w:t>
      </w:r>
    </w:p>
    <w:p w:rsidR="007961DA" w:rsidRDefault="00000000">
      <w:pPr>
        <w:spacing w:line="360" w:lineRule="auto"/>
        <w:ind w:firstLineChars="200" w:firstLine="548"/>
        <w:rPr>
          <w:rFonts w:ascii="宋体" w:eastAsia="宋体" w:hAnsi="宋体" w:cs="宋体" w:hint="eastAsia"/>
          <w:spacing w:val="-3"/>
          <w:sz w:val="28"/>
          <w:szCs w:val="28"/>
        </w:rPr>
      </w:pPr>
      <w:bookmarkStart w:id="3" w:name="bookmark37"/>
      <w:bookmarkStart w:id="4" w:name="bookmark38"/>
      <w:bookmarkEnd w:id="3"/>
      <w:bookmarkEnd w:id="4"/>
      <w:r>
        <w:rPr>
          <w:rFonts w:ascii="宋体" w:eastAsia="宋体" w:hAnsi="宋体" w:cs="宋体" w:hint="eastAsia"/>
          <w:spacing w:val="-3"/>
          <w:sz w:val="28"/>
          <w:szCs w:val="28"/>
        </w:rPr>
        <w:t>学院出台《经济管理学院师德师风建设工作实施细则》全方位支持老师教学科研育人能力的提升。1人获批江西省金牌研究生导师，1人获第四届江西省质量奖，1人获第八届校教学十佳，1人荣获江西省高校教师教学创新大赛三等奖，1人荣获江西省第五届本科院校青年教师教学竞赛三等奖，1名老师积极参与省政府组织的专家学者对社会经济发展建言献策。先后派出三位老师到省发改委、省科技厅、省军民融合办挂职锻炼；全年有四位老师到美国、以色列、韩国、泰国进修。</w:t>
      </w:r>
    </w:p>
    <w:p w:rsidR="007961DA" w:rsidRDefault="00000000">
      <w:pPr>
        <w:numPr>
          <w:ilvl w:val="0"/>
          <w:numId w:val="2"/>
        </w:num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科学研究</w:t>
      </w:r>
      <w:bookmarkStart w:id="5" w:name="bookmark39"/>
      <w:bookmarkStart w:id="6" w:name="bookmark40"/>
      <w:bookmarkEnd w:id="5"/>
      <w:bookmarkEnd w:id="6"/>
    </w:p>
    <w:p w:rsidR="007961DA"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2022年本学科获批国家基金2项，省级科研项目11项，纵向科研经费达到180余万元，横向科研经费达到80余万元。获批江西省高校研究生“课程思政”示范课1项，获批三项省级研究生教改课题，研究生层次省级教学成果奖二等奖1项，获批十二批江西省研究生优质课程建设1项。在SCI/SSCI/CSSCI/CSCD/北大中文核心等期刊发表学术论文50余篇，出版学术专著3部。</w:t>
      </w:r>
    </w:p>
    <w:p w:rsidR="007961DA"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（四）传承创新优秀文化</w:t>
      </w:r>
    </w:p>
    <w:p w:rsidR="007961DA"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全面提升学科凝聚力和影响力。通过各种渠道全</w:t>
      </w:r>
      <w:r w:rsidRPr="00B241EC">
        <w:rPr>
          <w:rFonts w:ascii="宋体" w:eastAsia="宋体" w:hAnsi="宋体" w:cs="宋体" w:hint="eastAsia"/>
          <w:spacing w:val="-3"/>
          <w:sz w:val="28"/>
          <w:szCs w:val="28"/>
        </w:rPr>
        <w:t>面梳理了学科发展历史，</w:t>
      </w:r>
      <w:r>
        <w:rPr>
          <w:rFonts w:ascii="宋体" w:eastAsia="宋体" w:hAnsi="宋体" w:cs="宋体" w:hint="eastAsia"/>
          <w:spacing w:val="-3"/>
          <w:sz w:val="28"/>
          <w:szCs w:val="28"/>
        </w:rPr>
        <w:t>不断总结、凝练学科特点并创新文化特色，形成学科发展史，同时设计打造学科文化品牌产品，并充分利用媒体平台，积极宣传，不断扩大影响力和号召力，助推一流学科建设，同时立足基本学科本色，加强校企合作交流，建</w:t>
      </w:r>
      <w:r>
        <w:rPr>
          <w:rFonts w:ascii="宋体" w:eastAsia="宋体" w:hAnsi="宋体" w:cs="宋体" w:hint="eastAsia"/>
          <w:spacing w:val="-3"/>
          <w:sz w:val="28"/>
          <w:szCs w:val="28"/>
        </w:rPr>
        <w:lastRenderedPageBreak/>
        <w:t>立教师、校友、企业捐赠信息融入文化建设机制，有力提升了师生归属感、荣誉感和获得感，进一步激发奋斗热情。</w:t>
      </w:r>
    </w:p>
    <w:p w:rsidR="007961DA"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（五）国际合作交流</w:t>
      </w:r>
    </w:p>
    <w:p w:rsidR="007961DA"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积极探索国际化研究生培养模式，通过国际项目合作、国家留学基金委</w:t>
      </w:r>
      <w:r w:rsidRPr="00C4330B">
        <w:rPr>
          <w:rFonts w:ascii="宋体" w:eastAsia="宋体" w:hAnsi="宋体" w:cs="宋体" w:hint="eastAsia"/>
          <w:spacing w:val="-3"/>
          <w:sz w:val="28"/>
          <w:szCs w:val="28"/>
        </w:rPr>
        <w:t>等资助，鼓励导师和研究生攻读博士学位；鼓励研究生导师赴海外进行学术交流和</w:t>
      </w:r>
      <w:r w:rsidR="00C56E04" w:rsidRPr="00C4330B">
        <w:rPr>
          <w:rFonts w:ascii="宋体" w:eastAsia="宋体" w:hAnsi="宋体" w:cs="宋体" w:hint="eastAsia"/>
          <w:spacing w:val="-3"/>
          <w:sz w:val="28"/>
          <w:szCs w:val="28"/>
        </w:rPr>
        <w:t>留学</w:t>
      </w:r>
      <w:r w:rsidRPr="00C4330B">
        <w:rPr>
          <w:rFonts w:ascii="宋体" w:eastAsia="宋体" w:hAnsi="宋体" w:cs="宋体" w:hint="eastAsia"/>
          <w:spacing w:val="-3"/>
          <w:sz w:val="28"/>
          <w:szCs w:val="28"/>
        </w:rPr>
        <w:t>。继续推进办</w:t>
      </w:r>
      <w:r>
        <w:rPr>
          <w:rFonts w:ascii="宋体" w:eastAsia="宋体" w:hAnsi="宋体" w:cs="宋体" w:hint="eastAsia"/>
          <w:spacing w:val="-3"/>
          <w:sz w:val="28"/>
          <w:szCs w:val="28"/>
        </w:rPr>
        <w:t>学国际化，积极打造双语课程与全英文课程。2022年，邀请了7名海内外知名学者，通过线上线下的形式成功在第十届中国航空学会青年科技论坛之“智慧经济与航空创新发展”分论坛上作主旨演讲。</w:t>
      </w:r>
    </w:p>
    <w:p w:rsidR="007961DA" w:rsidRPr="00584F6A" w:rsidRDefault="00000000">
      <w:pPr>
        <w:snapToGrid w:val="0"/>
        <w:spacing w:line="360" w:lineRule="auto"/>
        <w:ind w:firstLineChars="200" w:firstLine="640"/>
        <w:textAlignment w:val="baseline"/>
        <w:rPr>
          <w:rStyle w:val="NormalCharacter"/>
          <w:rFonts w:ascii="黑体" w:eastAsia="黑体" w:hAnsi="黑体" w:cs="宋体" w:hint="eastAsia"/>
          <w:bCs/>
          <w:szCs w:val="32"/>
        </w:rPr>
      </w:pPr>
      <w:r w:rsidRPr="00584F6A">
        <w:rPr>
          <w:rStyle w:val="NormalCharacter"/>
          <w:rFonts w:ascii="黑体" w:eastAsia="黑体" w:hAnsi="黑体" w:cs="宋体" w:hint="eastAsia"/>
          <w:bCs/>
          <w:szCs w:val="32"/>
        </w:rPr>
        <w:t>五、教育质量评估与分析</w:t>
      </w:r>
    </w:p>
    <w:p w:rsidR="007961DA"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（一）学科自我评估进展及分析</w:t>
      </w:r>
    </w:p>
    <w:p w:rsidR="007961DA"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近年来本学科整体实力在不断提升，学科建设稳步推进、学科管理逐渐规范。但是同省内外兄弟高校相比仍存在着较大差距，具体表现在培养目标未能紧密结合行业需求，导致毕业生就业竞争力不足；课程内容过于理论化，与实践脱节，未能有效培养学生的实际应用能力；师资队伍结构不合理，缺乏具有国际化背景和实践经验的教师；实践教学资源不足，与企业合作深度不够，未能提供高质量的实习机会。</w:t>
      </w:r>
    </w:p>
    <w:p w:rsidR="007961DA" w:rsidRDefault="00000000">
      <w:pPr>
        <w:spacing w:line="360" w:lineRule="auto"/>
        <w:ind w:left="19" w:firstLineChars="200" w:firstLine="552"/>
        <w:outlineLvl w:val="1"/>
        <w:rPr>
          <w:rFonts w:ascii="宋体" w:eastAsia="宋体" w:hAnsi="宋体" w:cs="宋体" w:hint="eastAsia"/>
          <w:spacing w:val="-2"/>
          <w:sz w:val="28"/>
          <w:szCs w:val="28"/>
        </w:rPr>
      </w:pPr>
      <w:bookmarkStart w:id="7" w:name="bookmark47"/>
      <w:bookmarkStart w:id="8" w:name="bookmark48"/>
      <w:bookmarkEnd w:id="7"/>
      <w:bookmarkEnd w:id="8"/>
      <w:r>
        <w:rPr>
          <w:rFonts w:ascii="宋体" w:eastAsia="宋体" w:hAnsi="宋体" w:cs="宋体" w:hint="eastAsia"/>
          <w:spacing w:val="-2"/>
          <w:sz w:val="28"/>
          <w:szCs w:val="28"/>
        </w:rPr>
        <w:t>（二）学位论文抽检、盲审情况</w:t>
      </w:r>
    </w:p>
    <w:p w:rsidR="007961DA"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学院采取 100</w:t>
      </w:r>
      <w:r w:rsidR="00A60F08">
        <w:rPr>
          <w:rFonts w:ascii="宋体" w:eastAsia="宋体" w:hAnsi="宋体" w:cs="宋体" w:hint="eastAsia"/>
          <w:spacing w:val="-3"/>
          <w:sz w:val="28"/>
          <w:szCs w:val="28"/>
        </w:rPr>
        <w:t>%</w:t>
      </w:r>
      <w:r>
        <w:rPr>
          <w:rFonts w:ascii="宋体" w:eastAsia="宋体" w:hAnsi="宋体" w:cs="宋体" w:hint="eastAsia"/>
          <w:spacing w:val="-3"/>
          <w:sz w:val="28"/>
          <w:szCs w:val="28"/>
        </w:rPr>
        <w:t>盲审制度，级别分为校级盲审（由研究生院送审） 和院级盲审（由学院送审），论文抽检 100%通过。</w:t>
      </w:r>
    </w:p>
    <w:p w:rsidR="007961DA" w:rsidRPr="00584F6A" w:rsidRDefault="00000000" w:rsidP="00584F6A">
      <w:pPr>
        <w:snapToGrid w:val="0"/>
        <w:spacing w:line="360" w:lineRule="auto"/>
        <w:ind w:firstLineChars="200" w:firstLine="640"/>
        <w:textAlignment w:val="baseline"/>
        <w:rPr>
          <w:rStyle w:val="NormalCharacter"/>
          <w:rFonts w:ascii="黑体" w:eastAsia="黑体" w:hAnsi="黑体" w:cs="宋体" w:hint="eastAsia"/>
          <w:bCs/>
          <w:szCs w:val="32"/>
        </w:rPr>
      </w:pPr>
      <w:r w:rsidRPr="00584F6A">
        <w:rPr>
          <w:rStyle w:val="NormalCharacter"/>
          <w:rFonts w:ascii="黑体" w:eastAsia="黑体" w:hAnsi="黑体" w:cs="宋体" w:hint="eastAsia"/>
          <w:bCs/>
          <w:szCs w:val="32"/>
        </w:rPr>
        <w:t>六、改进措施</w:t>
      </w:r>
    </w:p>
    <w:p w:rsidR="007961DA" w:rsidRDefault="00000000">
      <w:pPr>
        <w:spacing w:line="360" w:lineRule="auto"/>
        <w:ind w:firstLineChars="200" w:firstLine="596"/>
        <w:rPr>
          <w:rFonts w:ascii="宋体" w:eastAsia="宋体" w:hAnsi="宋体" w:cs="宋体" w:hint="eastAsia"/>
          <w:spacing w:val="9"/>
          <w:sz w:val="28"/>
          <w:szCs w:val="28"/>
        </w:rPr>
      </w:pPr>
      <w:bookmarkStart w:id="9" w:name="bookmark42"/>
      <w:bookmarkEnd w:id="9"/>
      <w:r>
        <w:rPr>
          <w:rFonts w:ascii="宋体" w:eastAsia="宋体" w:hAnsi="宋体" w:cs="宋体" w:hint="eastAsia"/>
          <w:spacing w:val="9"/>
          <w:sz w:val="28"/>
          <w:szCs w:val="28"/>
        </w:rPr>
        <w:lastRenderedPageBreak/>
        <w:t>一是明确培养目标，结合国家战略和行业需求，培养具有创新能力和实践能力的高素质管理人才。</w:t>
      </w:r>
    </w:p>
    <w:p w:rsidR="007961DA" w:rsidRDefault="00000000">
      <w:pPr>
        <w:spacing w:line="360" w:lineRule="auto"/>
        <w:ind w:firstLineChars="200" w:firstLine="596"/>
        <w:rPr>
          <w:rFonts w:ascii="宋体" w:eastAsia="宋体" w:hAnsi="宋体" w:cs="宋体" w:hint="eastAsia"/>
          <w:spacing w:val="9"/>
          <w:sz w:val="28"/>
          <w:szCs w:val="28"/>
        </w:rPr>
      </w:pPr>
      <w:r>
        <w:rPr>
          <w:rFonts w:ascii="宋体" w:eastAsia="宋体" w:hAnsi="宋体" w:cs="宋体" w:hint="eastAsia"/>
          <w:spacing w:val="9"/>
          <w:sz w:val="28"/>
          <w:szCs w:val="28"/>
        </w:rPr>
        <w:t>二是加强课程内容的实践性，引入案例教学、项目驱动教学等模式。</w:t>
      </w:r>
    </w:p>
    <w:p w:rsidR="007961DA" w:rsidRDefault="00000000">
      <w:pPr>
        <w:spacing w:line="360" w:lineRule="auto"/>
        <w:ind w:firstLineChars="200" w:firstLine="596"/>
        <w:rPr>
          <w:rFonts w:ascii="宋体" w:eastAsia="宋体" w:hAnsi="宋体" w:cs="宋体" w:hint="eastAsia"/>
          <w:spacing w:val="9"/>
          <w:sz w:val="28"/>
          <w:szCs w:val="28"/>
        </w:rPr>
      </w:pPr>
      <w:r>
        <w:rPr>
          <w:rFonts w:ascii="宋体" w:eastAsia="宋体" w:hAnsi="宋体" w:cs="宋体" w:hint="eastAsia"/>
          <w:spacing w:val="9"/>
          <w:sz w:val="28"/>
          <w:szCs w:val="28"/>
        </w:rPr>
        <w:t>三是引进具有国际化背景和实践经验的高水平教师，优化师资队伍结构。</w:t>
      </w:r>
    </w:p>
    <w:p w:rsidR="007961DA" w:rsidRDefault="00000000">
      <w:pPr>
        <w:spacing w:line="360" w:lineRule="auto"/>
        <w:ind w:firstLineChars="200" w:firstLine="596"/>
        <w:rPr>
          <w:rFonts w:ascii="宋体" w:eastAsia="宋体" w:hAnsi="宋体" w:cs="宋体" w:hint="eastAsia"/>
          <w:spacing w:val="9"/>
          <w:sz w:val="28"/>
          <w:szCs w:val="28"/>
        </w:rPr>
      </w:pPr>
      <w:r>
        <w:rPr>
          <w:rFonts w:ascii="宋体" w:eastAsia="宋体" w:hAnsi="宋体" w:cs="宋体" w:hint="eastAsia"/>
          <w:spacing w:val="9"/>
          <w:sz w:val="28"/>
          <w:szCs w:val="28"/>
        </w:rPr>
        <w:t>四是引进具有国际化背景和实践经验的高水平教师，优化师资队伍结构。</w:t>
      </w:r>
    </w:p>
    <w:sectPr w:rsidR="007961DA" w:rsidSect="00E6200D">
      <w:footerReference w:type="default" r:id="rId14"/>
      <w:footerReference w:type="first" r:id="rId15"/>
      <w:pgSz w:w="11906" w:h="16838"/>
      <w:pgMar w:top="2155" w:right="1435" w:bottom="1588" w:left="1435" w:header="851" w:footer="1587"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1B07" w:rsidRDefault="00031B07">
      <w:pPr>
        <w:rPr>
          <w:rFonts w:hint="eastAsia"/>
        </w:rPr>
      </w:pPr>
      <w:r>
        <w:separator/>
      </w:r>
    </w:p>
  </w:endnote>
  <w:endnote w:type="continuationSeparator" w:id="0">
    <w:p w:rsidR="00031B07" w:rsidRDefault="00031B0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61DA" w:rsidRDefault="007961DA">
    <w:pPr>
      <w:pStyle w:val="a4"/>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61DA" w:rsidRDefault="00000000">
    <w:pPr>
      <w:pStyle w:val="a4"/>
      <w:wordWrap w:val="0"/>
      <w:jc w:val="right"/>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61DA" w:rsidRDefault="00000000">
                          <w:pPr>
                            <w:pStyle w:val="a4"/>
                            <w:wordWrap w:val="0"/>
                            <w:jc w:val="right"/>
                            <w:rPr>
                              <w:rFonts w:hint="eastAsia"/>
                            </w:rPr>
                          </w:pPr>
                          <w:sdt>
                            <w:sdtPr>
                              <w:id w:val="147470197"/>
                            </w:sdtPr>
                            <w:sdtEndPr>
                              <w:rPr>
                                <w:rFonts w:ascii="宋体" w:eastAsia="宋体" w:hAnsi="宋体"/>
                                <w:sz w:val="28"/>
                              </w:rPr>
                            </w:sdtEndPr>
                            <w:sdtContent>
                              <w:r>
                                <w:rPr>
                                  <w:rFonts w:ascii="宋体" w:eastAsia="宋体" w:hAnsi="宋体" w:hint="eastAsia"/>
                                  <w:sz w:val="28"/>
                                </w:rPr>
                                <w:t xml:space="preserve">— </w:t>
                              </w:r>
                              <w:r>
                                <w:rPr>
                                  <w:rFonts w:ascii="宋体" w:eastAsia="宋体" w:hAnsi="宋体"/>
                                  <w:sz w:val="28"/>
                                </w:rPr>
                                <w:fldChar w:fldCharType="begin"/>
                              </w:r>
                              <w:r>
                                <w:rPr>
                                  <w:rFonts w:ascii="宋体" w:eastAsia="宋体" w:hAnsi="宋体"/>
                                  <w:sz w:val="28"/>
                                </w:rPr>
                                <w:instrText xml:space="preserve"> PAGE   \* MERGEFORMAT </w:instrText>
                              </w:r>
                              <w:r>
                                <w:rPr>
                                  <w:rFonts w:ascii="宋体" w:eastAsia="宋体" w:hAnsi="宋体"/>
                                  <w:sz w:val="28"/>
                                </w:rPr>
                                <w:fldChar w:fldCharType="separate"/>
                              </w:r>
                              <w:r>
                                <w:rPr>
                                  <w:rFonts w:ascii="宋体" w:eastAsia="宋体" w:hAnsi="宋体"/>
                                  <w:sz w:val="28"/>
                                  <w:lang w:val="zh-CN"/>
                                </w:rPr>
                                <w:t>23</w:t>
                              </w:r>
                              <w:r>
                                <w:rPr>
                                  <w:rFonts w:ascii="宋体" w:eastAsia="宋体" w:hAnsi="宋体"/>
                                  <w:sz w:val="28"/>
                                </w:rPr>
                                <w:fldChar w:fldCharType="end"/>
                              </w:r>
                            </w:sdtContent>
                          </w:sdt>
                          <w:r>
                            <w:rPr>
                              <w:rFonts w:ascii="宋体" w:eastAsia="宋体" w:hAnsi="宋体" w:hint="eastAsia"/>
                              <w:sz w:val="28"/>
                            </w:rPr>
                            <w:t xml:space="preserve"> —</w:t>
                          </w:r>
                          <w:r>
                            <w:rPr>
                              <w:rFonts w:ascii="宋体" w:eastAsia="宋体" w:hAnsi="宋体" w:hint="eastAsia"/>
                              <w:color w:val="FFFFFF" w:themeColor="background1"/>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7961DA" w:rsidRDefault="00000000">
                    <w:pPr>
                      <w:pStyle w:val="a4"/>
                      <w:wordWrap w:val="0"/>
                      <w:jc w:val="right"/>
                      <w:rPr>
                        <w:rFonts w:hint="eastAsia"/>
                      </w:rPr>
                    </w:pPr>
                    <w:sdt>
                      <w:sdtPr>
                        <w:id w:val="147470197"/>
                      </w:sdtPr>
                      <w:sdtEndPr>
                        <w:rPr>
                          <w:rFonts w:ascii="宋体" w:eastAsia="宋体" w:hAnsi="宋体"/>
                          <w:sz w:val="28"/>
                        </w:rPr>
                      </w:sdtEndPr>
                      <w:sdtContent>
                        <w:r>
                          <w:rPr>
                            <w:rFonts w:ascii="宋体" w:eastAsia="宋体" w:hAnsi="宋体" w:hint="eastAsia"/>
                            <w:sz w:val="28"/>
                          </w:rPr>
                          <w:t xml:space="preserve">— </w:t>
                        </w:r>
                        <w:r>
                          <w:rPr>
                            <w:rFonts w:ascii="宋体" w:eastAsia="宋体" w:hAnsi="宋体"/>
                            <w:sz w:val="28"/>
                          </w:rPr>
                          <w:fldChar w:fldCharType="begin"/>
                        </w:r>
                        <w:r>
                          <w:rPr>
                            <w:rFonts w:ascii="宋体" w:eastAsia="宋体" w:hAnsi="宋体"/>
                            <w:sz w:val="28"/>
                          </w:rPr>
                          <w:instrText xml:space="preserve"> PAGE   \* MERGEFORMAT </w:instrText>
                        </w:r>
                        <w:r>
                          <w:rPr>
                            <w:rFonts w:ascii="宋体" w:eastAsia="宋体" w:hAnsi="宋体"/>
                            <w:sz w:val="28"/>
                          </w:rPr>
                          <w:fldChar w:fldCharType="separate"/>
                        </w:r>
                        <w:r>
                          <w:rPr>
                            <w:rFonts w:ascii="宋体" w:eastAsia="宋体" w:hAnsi="宋体"/>
                            <w:sz w:val="28"/>
                            <w:lang w:val="zh-CN"/>
                          </w:rPr>
                          <w:t>23</w:t>
                        </w:r>
                        <w:r>
                          <w:rPr>
                            <w:rFonts w:ascii="宋体" w:eastAsia="宋体" w:hAnsi="宋体"/>
                            <w:sz w:val="28"/>
                          </w:rPr>
                          <w:fldChar w:fldCharType="end"/>
                        </w:r>
                      </w:sdtContent>
                    </w:sdt>
                    <w:r>
                      <w:rPr>
                        <w:rFonts w:ascii="宋体" w:eastAsia="宋体" w:hAnsi="宋体" w:hint="eastAsia"/>
                        <w:sz w:val="28"/>
                      </w:rPr>
                      <w:t xml:space="preserve"> —</w:t>
                    </w:r>
                    <w:r>
                      <w:rPr>
                        <w:rFonts w:ascii="宋体" w:eastAsia="宋体" w:hAnsi="宋体" w:hint="eastAsia"/>
                        <w:color w:val="FFFFFF" w:themeColor="background1"/>
                        <w:sz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61DA" w:rsidRDefault="00000000">
    <w:pPr>
      <w:pStyle w:val="a4"/>
      <w:wordWrap w:val="0"/>
      <w:jc w:val="right"/>
      <w:rPr>
        <w:rFonts w:hint="eastAsia"/>
      </w:rPr>
    </w:pPr>
    <w:r>
      <w:rPr>
        <w:rFonts w:ascii="宋体" w:eastAsia="宋体" w:hAnsi="宋体" w:hint="eastAsia"/>
        <w:color w:val="FFFFFF" w:themeColor="background1"/>
        <w:sz w:val="2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61DA" w:rsidRDefault="00000000">
    <w:pPr>
      <w:pStyle w:val="a4"/>
      <w:jc w:val="center"/>
      <w:rPr>
        <w:rStyle w:val="NormalCharacter"/>
        <w:rFonts w:ascii="仿宋_GB2312" w:eastAsia="仿宋_GB2312" w:hint="eastAsia"/>
        <w:sz w:val="24"/>
      </w:rPr>
    </w:pPr>
    <w:r>
      <w:rPr>
        <w:noProof/>
        <w:sz w:val="24"/>
      </w:rPr>
      <mc:AlternateContent>
        <mc:Choice Requires="wps">
          <w:drawing>
            <wp:anchor distT="0" distB="0" distL="114300" distR="114300" simplePos="0" relativeHeight="251661312" behindDoc="0" locked="0" layoutInCell="1" allowOverlap="1">
              <wp:simplePos x="0" y="0"/>
              <wp:positionH relativeFrom="margin">
                <wp:posOffset>2839508</wp:posOffset>
              </wp:positionH>
              <wp:positionV relativeFrom="paragraph">
                <wp:posOffset>-4233</wp:posOffset>
              </wp:positionV>
              <wp:extent cx="220134" cy="228600"/>
              <wp:effectExtent l="0" t="0" r="8890" b="0"/>
              <wp:wrapNone/>
              <wp:docPr id="3" name="文本框 3"/>
              <wp:cNvGraphicFramePr/>
              <a:graphic xmlns:a="http://schemas.openxmlformats.org/drawingml/2006/main">
                <a:graphicData uri="http://schemas.microsoft.com/office/word/2010/wordprocessingShape">
                  <wps:wsp>
                    <wps:cNvSpPr txBox="1"/>
                    <wps:spPr>
                      <a:xfrm>
                        <a:off x="0" y="0"/>
                        <a:ext cx="220134"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61DA" w:rsidRDefault="00000000">
                          <w:pPr>
                            <w:pStyle w:val="a4"/>
                            <w:rPr>
                              <w:rFonts w:hint="eastAsia"/>
                            </w:rPr>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223.6pt;margin-top:-.35pt;width:17.35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uLRwIAAOsEAAAOAAAAZHJzL2Uyb0RvYy54bWysVE2P2jAQvVfqf7B8Lwlsi1aIsKKsqCqh&#10;7mpp1bNxbGLV9ri2IaG/vmOHwGrby1a9OBPPvPl4M+P5XWc0OQofFNiKjkclJcJyqJXdV/Tb1/W7&#10;W0pCZLZmGqyo6EkEerd4+2beupmYQAO6Fp6gExtmratoE6ObFUXgjTAsjMAJi0oJ3rCIv35f1J61&#10;6N3oYlKW06IFXzsPXISAt/e9ki6yfykFjw9SBhGJrijmFvPp87lLZ7GYs9neM9cofk6D/UMWhimL&#10;QS+u7llk5ODVH66M4h4CyDjiYAqQUnGRa8BqxuWLarYNcyLXguQEd6Ep/D+3/Mtx6x49id1H6LCB&#10;iZDWhVnAy1RPJ71JX8yUoB4pPF1oE10kHC8nmPrNe0o4qiaT22mZaS2uYOdD/CTAkCRU1GNXMlns&#10;uAkRA6LpYJJiWVgrrXNntCVtRac3H8oMuGgQoS0Cr6lmKZ60SB60fRKSqDpnnC7yPImV9uTIcBIY&#10;58LGXGz2hNbJSmLY1wDP9gkq8qy9BnxB5Mhg4wVslAWf632Rdv1jSFn29gMDfd2JgtjtOiz8WSd3&#10;UJ+wwR762Q+OrxW2YcNCfGQehx17igscH/CQGpBuOEuUNOB//e0+2eMMopaSFpenouHngXlBif5s&#10;cTrTpg2CH4TdINiDWQF2YYxPg+NZRICPehClB/Md93qZoqCKWY6xKhoHcRX7FcZ3gYvlMhvhPjkW&#10;N3breHKdWLWwPESQKs9YYqfn4swablQevfP2p5V9/p+trm/U4jcAAAD//wMAUEsDBBQABgAIAAAA&#10;IQBcaCIO4AAAAAgBAAAPAAAAZHJzL2Rvd25yZXYueG1sTI/NTsMwEITvSLyDtUjcWidtoCVkUyF+&#10;bhTaAhLcnNgkEfY6sp00vD3mBMfRjGa+KTaT0WxUzneWENJ5AkxRbWVHDcLry8NsDcwHQVJoSwrh&#10;W3nYlKcnhcilPdJejYfQsFhCPhcIbQh9zrmvW2WEn9teUfQ+rTMiROkaLp04xnKj+SJJLrkRHcWF&#10;VvTqtlX112EwCPrdu8cqCR/jXbMNu2c+vN2nT4jnZ9PNNbCgpvAXhl/8iA5lZKrsQNIzjZBlq0WM&#10;IsxWwKKfrdMrYBXC8mIJvCz4/wPlDwAAAP//AwBQSwECLQAUAAYACAAAACEAtoM4kv4AAADhAQAA&#10;EwAAAAAAAAAAAAAAAAAAAAAAW0NvbnRlbnRfVHlwZXNdLnhtbFBLAQItABQABgAIAAAAIQA4/SH/&#10;1gAAAJQBAAALAAAAAAAAAAAAAAAAAC8BAABfcmVscy8ucmVsc1BLAQItABQABgAIAAAAIQBVQouL&#10;RwIAAOsEAAAOAAAAAAAAAAAAAAAAAC4CAABkcnMvZTJvRG9jLnhtbFBLAQItABQABgAIAAAAIQBc&#10;aCIO4AAAAAgBAAAPAAAAAAAAAAAAAAAAAKEEAABkcnMvZG93bnJldi54bWxQSwUGAAAAAAQABADz&#10;AAAArgUAAAAA&#10;" filled="f" stroked="f" strokeweight=".5pt">
              <v:textbox inset="0,0,0,0">
                <w:txbxContent>
                  <w:p w:rsidR="007961DA" w:rsidRDefault="00000000">
                    <w:pPr>
                      <w:pStyle w:val="a4"/>
                      <w:rPr>
                        <w:rFonts w:hint="eastAsia"/>
                      </w:rPr>
                    </w:pPr>
                    <w:r>
                      <w:fldChar w:fldCharType="begin"/>
                    </w:r>
                    <w:r>
                      <w:instrText xml:space="preserve"> PAGE  \* MERGEFORMAT </w:instrText>
                    </w:r>
                    <w:r>
                      <w:fldChar w:fldCharType="separate"/>
                    </w:r>
                    <w:r>
                      <w:t>4</w:t>
                    </w:r>
                    <w:r>
                      <w:fldChar w:fldCharType="end"/>
                    </w:r>
                  </w:p>
                </w:txbxContent>
              </v:textbox>
              <w10:wrap anchorx="margin"/>
            </v:shape>
          </w:pict>
        </mc:Fallback>
      </mc:AlternateContent>
    </w:r>
    <w:r>
      <w:rPr>
        <w:rStyle w:val="NormalCharacter"/>
        <w:rFonts w:ascii="仿宋_GB2312" w:eastAsia="仿宋_GB2312" w:hint="eastAsia"/>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61DA" w:rsidRDefault="00000000">
    <w:pPr>
      <w:pStyle w:val="a4"/>
      <w:rPr>
        <w:rFonts w:hint="eastAsia"/>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61DA" w:rsidRDefault="00000000">
                          <w:pPr>
                            <w:pStyle w:val="a4"/>
                            <w:rPr>
                              <w:rFonts w:hint="eastAsia"/>
                            </w:rPr>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rsidR="007961DA" w:rsidRDefault="00000000">
                    <w:pPr>
                      <w:pStyle w:val="a4"/>
                      <w:rPr>
                        <w:rFonts w:hint="eastAsia"/>
                      </w:rPr>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1B07" w:rsidRDefault="00031B07">
      <w:pPr>
        <w:rPr>
          <w:rFonts w:hint="eastAsia"/>
        </w:rPr>
      </w:pPr>
      <w:r>
        <w:separator/>
      </w:r>
    </w:p>
  </w:footnote>
  <w:footnote w:type="continuationSeparator" w:id="0">
    <w:p w:rsidR="00031B07" w:rsidRDefault="00031B0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61DA" w:rsidRDefault="007961DA">
    <w:pPr>
      <w:pStyle w:val="a6"/>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6200D" w:rsidRDefault="00E6200D">
    <w:pPr>
      <w:pStyle w:val="a6"/>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6200D" w:rsidRDefault="00E6200D">
    <w:pPr>
      <w:pStyle w:val="a6"/>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7FED05"/>
    <w:multiLevelType w:val="singleLevel"/>
    <w:tmpl w:val="AD7FED05"/>
    <w:lvl w:ilvl="0">
      <w:start w:val="3"/>
      <w:numFmt w:val="chineseCounting"/>
      <w:suff w:val="nothing"/>
      <w:lvlText w:val="（%1）"/>
      <w:lvlJc w:val="left"/>
      <w:rPr>
        <w:rFonts w:hint="eastAsia"/>
      </w:rPr>
    </w:lvl>
  </w:abstractNum>
  <w:abstractNum w:abstractNumId="1" w15:restartNumberingAfterBreak="0">
    <w:nsid w:val="0502926C"/>
    <w:multiLevelType w:val="singleLevel"/>
    <w:tmpl w:val="0502926C"/>
    <w:lvl w:ilvl="0">
      <w:start w:val="4"/>
      <w:numFmt w:val="chineseCounting"/>
      <w:suff w:val="nothing"/>
      <w:lvlText w:val="%1、"/>
      <w:lvlJc w:val="left"/>
      <w:rPr>
        <w:rFonts w:hint="eastAsia"/>
      </w:rPr>
    </w:lvl>
  </w:abstractNum>
  <w:num w:numId="1" w16cid:durableId="114564522">
    <w:abstractNumId w:val="1"/>
  </w:num>
  <w:num w:numId="2" w16cid:durableId="1046175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C5A"/>
    <w:rsid w:val="000243CF"/>
    <w:rsid w:val="00031B07"/>
    <w:rsid w:val="00216F31"/>
    <w:rsid w:val="00297BD4"/>
    <w:rsid w:val="00316B06"/>
    <w:rsid w:val="00322D77"/>
    <w:rsid w:val="00356DFB"/>
    <w:rsid w:val="003C0516"/>
    <w:rsid w:val="003E3453"/>
    <w:rsid w:val="003F0CCE"/>
    <w:rsid w:val="00424604"/>
    <w:rsid w:val="00484164"/>
    <w:rsid w:val="004E4351"/>
    <w:rsid w:val="005526BA"/>
    <w:rsid w:val="00584F6A"/>
    <w:rsid w:val="005B593D"/>
    <w:rsid w:val="00607C5A"/>
    <w:rsid w:val="00683392"/>
    <w:rsid w:val="006A7567"/>
    <w:rsid w:val="006D605D"/>
    <w:rsid w:val="007538EA"/>
    <w:rsid w:val="00777623"/>
    <w:rsid w:val="007961DA"/>
    <w:rsid w:val="007D64E5"/>
    <w:rsid w:val="00836F0D"/>
    <w:rsid w:val="00837214"/>
    <w:rsid w:val="00895763"/>
    <w:rsid w:val="008E5AF9"/>
    <w:rsid w:val="008F1A5D"/>
    <w:rsid w:val="00926DC6"/>
    <w:rsid w:val="009B4876"/>
    <w:rsid w:val="00A01A16"/>
    <w:rsid w:val="00A33F3A"/>
    <w:rsid w:val="00A4661E"/>
    <w:rsid w:val="00A60F08"/>
    <w:rsid w:val="00A6250F"/>
    <w:rsid w:val="00A878EC"/>
    <w:rsid w:val="00AA4E08"/>
    <w:rsid w:val="00AA7DE0"/>
    <w:rsid w:val="00B05BC1"/>
    <w:rsid w:val="00B241EC"/>
    <w:rsid w:val="00B447E3"/>
    <w:rsid w:val="00BE7411"/>
    <w:rsid w:val="00C1007E"/>
    <w:rsid w:val="00C4330B"/>
    <w:rsid w:val="00C503FF"/>
    <w:rsid w:val="00C56E04"/>
    <w:rsid w:val="00C6437E"/>
    <w:rsid w:val="00CA7EEA"/>
    <w:rsid w:val="00CB3EB0"/>
    <w:rsid w:val="00CC188D"/>
    <w:rsid w:val="00D25604"/>
    <w:rsid w:val="00D54C3A"/>
    <w:rsid w:val="00D94EF6"/>
    <w:rsid w:val="00E03D19"/>
    <w:rsid w:val="00E074F6"/>
    <w:rsid w:val="00E6200D"/>
    <w:rsid w:val="00E62243"/>
    <w:rsid w:val="00EF6FF3"/>
    <w:rsid w:val="00FC5753"/>
    <w:rsid w:val="01F66ABD"/>
    <w:rsid w:val="06B44EDA"/>
    <w:rsid w:val="06E45A7E"/>
    <w:rsid w:val="077906E0"/>
    <w:rsid w:val="077961C6"/>
    <w:rsid w:val="08AE6343"/>
    <w:rsid w:val="094153FB"/>
    <w:rsid w:val="0C3721AC"/>
    <w:rsid w:val="0CE51C08"/>
    <w:rsid w:val="0D102222"/>
    <w:rsid w:val="0D197B03"/>
    <w:rsid w:val="0E0E518E"/>
    <w:rsid w:val="0F5117D6"/>
    <w:rsid w:val="0FFC1742"/>
    <w:rsid w:val="10A00B00"/>
    <w:rsid w:val="117F087D"/>
    <w:rsid w:val="11B83D8F"/>
    <w:rsid w:val="11D861DF"/>
    <w:rsid w:val="120211F9"/>
    <w:rsid w:val="124949E7"/>
    <w:rsid w:val="13C702B9"/>
    <w:rsid w:val="14757D15"/>
    <w:rsid w:val="15535E8C"/>
    <w:rsid w:val="1663076D"/>
    <w:rsid w:val="18932E60"/>
    <w:rsid w:val="19EC6CCB"/>
    <w:rsid w:val="1A3366A8"/>
    <w:rsid w:val="1A9D7FC6"/>
    <w:rsid w:val="1B1F6C2C"/>
    <w:rsid w:val="1C364665"/>
    <w:rsid w:val="1D5030CD"/>
    <w:rsid w:val="1DAF6046"/>
    <w:rsid w:val="1E075E82"/>
    <w:rsid w:val="20266765"/>
    <w:rsid w:val="21A47E8B"/>
    <w:rsid w:val="23E9602A"/>
    <w:rsid w:val="24633A9B"/>
    <w:rsid w:val="24B823FA"/>
    <w:rsid w:val="255676EF"/>
    <w:rsid w:val="25657932"/>
    <w:rsid w:val="26265313"/>
    <w:rsid w:val="26A06E73"/>
    <w:rsid w:val="26C97FF4"/>
    <w:rsid w:val="26E825C8"/>
    <w:rsid w:val="27046476"/>
    <w:rsid w:val="27402404"/>
    <w:rsid w:val="27B32BD6"/>
    <w:rsid w:val="27DA0163"/>
    <w:rsid w:val="28FE074F"/>
    <w:rsid w:val="29C04211"/>
    <w:rsid w:val="2A9B6CD2"/>
    <w:rsid w:val="2AFE373B"/>
    <w:rsid w:val="2B091169"/>
    <w:rsid w:val="2B326508"/>
    <w:rsid w:val="2BAF1907"/>
    <w:rsid w:val="2BDA1A1F"/>
    <w:rsid w:val="2CD258AD"/>
    <w:rsid w:val="2CE910DE"/>
    <w:rsid w:val="2DCE2518"/>
    <w:rsid w:val="2EB55486"/>
    <w:rsid w:val="2F917175"/>
    <w:rsid w:val="2FB96C5A"/>
    <w:rsid w:val="31341444"/>
    <w:rsid w:val="32B86286"/>
    <w:rsid w:val="332901F1"/>
    <w:rsid w:val="34A23DDC"/>
    <w:rsid w:val="34ED239C"/>
    <w:rsid w:val="352B64A2"/>
    <w:rsid w:val="36CE3589"/>
    <w:rsid w:val="38E373C4"/>
    <w:rsid w:val="39C81415"/>
    <w:rsid w:val="3E6D50A6"/>
    <w:rsid w:val="3FCA1E8A"/>
    <w:rsid w:val="42982C9D"/>
    <w:rsid w:val="430A1DED"/>
    <w:rsid w:val="43284021"/>
    <w:rsid w:val="43741014"/>
    <w:rsid w:val="44354C47"/>
    <w:rsid w:val="44AB315B"/>
    <w:rsid w:val="44AD6DEF"/>
    <w:rsid w:val="457C4AF8"/>
    <w:rsid w:val="45AD4CB1"/>
    <w:rsid w:val="45CB480C"/>
    <w:rsid w:val="45EE1AFF"/>
    <w:rsid w:val="466C2476"/>
    <w:rsid w:val="47BE4F54"/>
    <w:rsid w:val="48C93BB0"/>
    <w:rsid w:val="48D82045"/>
    <w:rsid w:val="4BD21CDC"/>
    <w:rsid w:val="4D7A78E7"/>
    <w:rsid w:val="4F4F48BB"/>
    <w:rsid w:val="4F910949"/>
    <w:rsid w:val="51B45471"/>
    <w:rsid w:val="51B82A14"/>
    <w:rsid w:val="52154A76"/>
    <w:rsid w:val="52AD62F0"/>
    <w:rsid w:val="52B96A43"/>
    <w:rsid w:val="5597091E"/>
    <w:rsid w:val="561346BC"/>
    <w:rsid w:val="57407733"/>
    <w:rsid w:val="58A27717"/>
    <w:rsid w:val="59450261"/>
    <w:rsid w:val="5B2B24A8"/>
    <w:rsid w:val="5DF272AD"/>
    <w:rsid w:val="5FC91698"/>
    <w:rsid w:val="60E44BD2"/>
    <w:rsid w:val="633A3BD0"/>
    <w:rsid w:val="639F1A4E"/>
    <w:rsid w:val="64F04B95"/>
    <w:rsid w:val="658B0B4D"/>
    <w:rsid w:val="69A24425"/>
    <w:rsid w:val="6A1A3E14"/>
    <w:rsid w:val="6B797260"/>
    <w:rsid w:val="6CE17D59"/>
    <w:rsid w:val="6CEE7853"/>
    <w:rsid w:val="6E005A16"/>
    <w:rsid w:val="6E2A4841"/>
    <w:rsid w:val="6E9A19C7"/>
    <w:rsid w:val="6F375468"/>
    <w:rsid w:val="6F5033A9"/>
    <w:rsid w:val="710B44B6"/>
    <w:rsid w:val="727D13E4"/>
    <w:rsid w:val="73260884"/>
    <w:rsid w:val="732B52E4"/>
    <w:rsid w:val="73836ECE"/>
    <w:rsid w:val="764A2C11"/>
    <w:rsid w:val="76593F16"/>
    <w:rsid w:val="772938E8"/>
    <w:rsid w:val="79517126"/>
    <w:rsid w:val="79B73AD7"/>
    <w:rsid w:val="7AC8166A"/>
    <w:rsid w:val="7BC736D0"/>
    <w:rsid w:val="7C55517F"/>
    <w:rsid w:val="7C741C86"/>
    <w:rsid w:val="7E470AF8"/>
    <w:rsid w:val="7E7502E4"/>
    <w:rsid w:val="7F125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72683"/>
  <w15:docId w15:val="{A514875F-A764-4161-9A1C-D18173AE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semiHidden/>
    <w:unhideWhenUsed/>
    <w:qFormat/>
    <w:pPr>
      <w:spacing w:after="120"/>
    </w:pPr>
    <w:rPr>
      <w:rFonts w:ascii="Calibri" w:eastAsia="宋体" w:hAnsi="Calibri" w:cs="Times New Roman"/>
      <w:szCs w:val="24"/>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a8">
    <w:name w:val="Subtitle"/>
    <w:basedOn w:val="a"/>
    <w:next w:val="a"/>
    <w:link w:val="a9"/>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a">
    <w:name w:val="Normal (Web)"/>
    <w:basedOn w:val="a"/>
    <w:qFormat/>
    <w:pPr>
      <w:spacing w:beforeAutospacing="1" w:afterAutospacing="1"/>
      <w:jc w:val="left"/>
    </w:pPr>
    <w:rPr>
      <w:rFonts w:eastAsia="方正仿宋简体" w:cs="Times New Roman"/>
      <w:kern w:val="0"/>
      <w:sz w:val="24"/>
      <w:szCs w:val="24"/>
    </w:rPr>
  </w:style>
  <w:style w:type="paragraph" w:styleId="ab">
    <w:name w:val="Title"/>
    <w:basedOn w:val="a"/>
    <w:next w:val="a"/>
    <w:link w:val="ac"/>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1"/>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qFormat/>
    <w:rPr>
      <w:rFonts w:cstheme="majorBidi"/>
      <w:color w:val="2F5496" w:themeColor="accent1" w:themeShade="BF"/>
      <w:sz w:val="28"/>
      <w:szCs w:val="28"/>
    </w:rPr>
  </w:style>
  <w:style w:type="character" w:customStyle="1" w:styleId="50">
    <w:name w:val="标题 5 字符"/>
    <w:basedOn w:val="a1"/>
    <w:link w:val="5"/>
    <w:uiPriority w:val="9"/>
    <w:semiHidden/>
    <w:qFormat/>
    <w:rPr>
      <w:rFonts w:cstheme="majorBidi"/>
      <w:color w:val="2F5496" w:themeColor="accent1" w:themeShade="BF"/>
      <w:sz w:val="24"/>
      <w:szCs w:val="24"/>
    </w:rPr>
  </w:style>
  <w:style w:type="character" w:customStyle="1" w:styleId="60">
    <w:name w:val="标题 6 字符"/>
    <w:basedOn w:val="a1"/>
    <w:link w:val="6"/>
    <w:uiPriority w:val="9"/>
    <w:semiHidden/>
    <w:qFormat/>
    <w:rPr>
      <w:rFonts w:cstheme="majorBidi"/>
      <w:b/>
      <w:bCs/>
      <w:color w:val="2F5496" w:themeColor="accent1" w:themeShade="BF"/>
    </w:rPr>
  </w:style>
  <w:style w:type="character" w:customStyle="1" w:styleId="70">
    <w:name w:val="标题 7 字符"/>
    <w:basedOn w:val="a1"/>
    <w:link w:val="7"/>
    <w:uiPriority w:val="9"/>
    <w:semiHidden/>
    <w:qFormat/>
    <w:rPr>
      <w:rFonts w:cstheme="majorBidi"/>
      <w:b/>
      <w:bCs/>
      <w:color w:val="595959" w:themeColor="text1" w:themeTint="A6"/>
    </w:rPr>
  </w:style>
  <w:style w:type="character" w:customStyle="1" w:styleId="80">
    <w:name w:val="标题 8 字符"/>
    <w:basedOn w:val="a1"/>
    <w:link w:val="8"/>
    <w:uiPriority w:val="9"/>
    <w:semiHidden/>
    <w:qFormat/>
    <w:rPr>
      <w:rFonts w:cstheme="majorBidi"/>
      <w:color w:val="595959" w:themeColor="text1" w:themeTint="A6"/>
    </w:rPr>
  </w:style>
  <w:style w:type="character" w:customStyle="1" w:styleId="90">
    <w:name w:val="标题 9 字符"/>
    <w:basedOn w:val="a1"/>
    <w:link w:val="9"/>
    <w:uiPriority w:val="9"/>
    <w:semiHidden/>
    <w:qFormat/>
    <w:rPr>
      <w:rFonts w:eastAsiaTheme="majorEastAsia" w:cstheme="majorBidi"/>
      <w:color w:val="595959" w:themeColor="text1" w:themeTint="A6"/>
    </w:rPr>
  </w:style>
  <w:style w:type="character" w:customStyle="1" w:styleId="ac">
    <w:name w:val="标题 字符"/>
    <w:basedOn w:val="a1"/>
    <w:link w:val="ab"/>
    <w:uiPriority w:val="10"/>
    <w:qFormat/>
    <w:rPr>
      <w:rFonts w:asciiTheme="majorHAnsi" w:eastAsiaTheme="majorEastAsia" w:hAnsiTheme="majorHAnsi" w:cstheme="majorBidi"/>
      <w:spacing w:val="-10"/>
      <w:kern w:val="28"/>
      <w:sz w:val="56"/>
      <w:szCs w:val="56"/>
    </w:rPr>
  </w:style>
  <w:style w:type="character" w:customStyle="1" w:styleId="a9">
    <w:name w:val="副标题 字符"/>
    <w:basedOn w:val="a1"/>
    <w:link w:val="a8"/>
    <w:uiPriority w:val="11"/>
    <w:qFormat/>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uiPriority w:val="29"/>
    <w:qFormat/>
    <w:pPr>
      <w:spacing w:before="160" w:after="160"/>
      <w:jc w:val="center"/>
    </w:pPr>
    <w:rPr>
      <w:i/>
      <w:iCs/>
      <w:color w:val="404040" w:themeColor="text1" w:themeTint="BF"/>
    </w:rPr>
  </w:style>
  <w:style w:type="character" w:customStyle="1" w:styleId="ae">
    <w:name w:val="引用 字符"/>
    <w:basedOn w:val="a1"/>
    <w:link w:val="ad"/>
    <w:uiPriority w:val="29"/>
    <w:qFormat/>
    <w:rPr>
      <w:i/>
      <w:iCs/>
      <w:color w:val="404040" w:themeColor="text1" w:themeTint="BF"/>
    </w:rPr>
  </w:style>
  <w:style w:type="paragraph" w:styleId="af">
    <w:name w:val="List Paragraph"/>
    <w:basedOn w:val="a"/>
    <w:uiPriority w:val="34"/>
    <w:qFormat/>
    <w:pPr>
      <w:ind w:left="720"/>
      <w:contextualSpacing/>
    </w:pPr>
  </w:style>
  <w:style w:type="character" w:customStyle="1" w:styleId="11">
    <w:name w:val="明显强调1"/>
    <w:basedOn w:val="a1"/>
    <w:uiPriority w:val="21"/>
    <w:qFormat/>
    <w:rPr>
      <w:i/>
      <w:iCs/>
      <w:color w:val="2F5496" w:themeColor="accent1" w:themeShade="BF"/>
    </w:rPr>
  </w:style>
  <w:style w:type="paragraph" w:styleId="af0">
    <w:name w:val="Intense Quote"/>
    <w:basedOn w:val="a"/>
    <w:next w:val="a"/>
    <w:link w:val="af1"/>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1">
    <w:name w:val="明显引用 字符"/>
    <w:basedOn w:val="a1"/>
    <w:link w:val="af0"/>
    <w:uiPriority w:val="30"/>
    <w:qFormat/>
    <w:rPr>
      <w:i/>
      <w:iCs/>
      <w:color w:val="2F5496" w:themeColor="accent1" w:themeShade="BF"/>
    </w:rPr>
  </w:style>
  <w:style w:type="character" w:customStyle="1" w:styleId="12">
    <w:name w:val="明显参考1"/>
    <w:basedOn w:val="a1"/>
    <w:uiPriority w:val="32"/>
    <w:qFormat/>
    <w:rPr>
      <w:b/>
      <w:bCs/>
      <w:smallCaps/>
      <w:color w:val="2F5496" w:themeColor="accent1" w:themeShade="BF"/>
      <w:spacing w:val="5"/>
    </w:rPr>
  </w:style>
  <w:style w:type="character" w:customStyle="1" w:styleId="a5">
    <w:name w:val="页脚 字符"/>
    <w:basedOn w:val="a1"/>
    <w:link w:val="a4"/>
    <w:uiPriority w:val="99"/>
    <w:qFormat/>
    <w:rPr>
      <w:sz w:val="18"/>
      <w:szCs w:val="18"/>
    </w:rPr>
  </w:style>
  <w:style w:type="character" w:customStyle="1" w:styleId="NormalCharacter">
    <w:name w:val="NormalCharacter"/>
    <w:semiHidden/>
    <w:qFormat/>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qFormat/>
    <w:pPr>
      <w:spacing w:line="600" w:lineRule="exact"/>
      <w:ind w:firstLineChars="200" w:firstLine="640"/>
      <w:textAlignment w:val="baseline"/>
    </w:pPr>
    <w:rPr>
      <w:rFonts w:ascii="黑体" w:eastAsia="黑体" w:hAnsi="黑体"/>
      <w:color w:val="000000"/>
      <w:sz w:val="32"/>
      <w:szCs w:val="32"/>
    </w:rPr>
  </w:style>
  <w:style w:type="character" w:customStyle="1" w:styleId="a7">
    <w:name w:val="页眉 字符"/>
    <w:basedOn w:val="a1"/>
    <w:link w:val="a6"/>
    <w:uiPriority w:val="99"/>
    <w:qFormat/>
    <w:rPr>
      <w:sz w:val="18"/>
      <w:szCs w:val="18"/>
    </w:rPr>
  </w:style>
  <w:style w:type="table" w:styleId="af2">
    <w:name w:val="Table Grid"/>
    <w:basedOn w:val="a2"/>
    <w:qFormat/>
    <w:rsid w:val="00836F0D"/>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907</Words>
  <Characters>5171</Characters>
  <Application>Microsoft Office Word</Application>
  <DocSecurity>0</DocSecurity>
  <Lines>43</Lines>
  <Paragraphs>12</Paragraphs>
  <ScaleCrop>false</ScaleCrop>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梦娜 鲍</dc:creator>
  <cp:lastModifiedBy>梦娜 鲍</cp:lastModifiedBy>
  <cp:revision>25</cp:revision>
  <dcterms:created xsi:type="dcterms:W3CDTF">2025-01-14T09:03:00Z</dcterms:created>
  <dcterms:modified xsi:type="dcterms:W3CDTF">2025-03-13T05:46:00Z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eyJoZGlkIjoiMGQ4NGI2M2I2NzVhZmFlNzNhY2NkMTk4MTcwYmRkMGIiLCJ1c2VySWQiOiIzNDgzNTIwMjUifQ==</vt:lpwstr>
  </property>
  <property fmtid="{D5CDD505-2E9C-101B-9397-08002B2CF9AE}" pid="3" name="KSOProductBuildVer">
    <vt:lpwstr>2052-12.1.0.20305</vt:lpwstr>
  </property>
  <property fmtid="{D5CDD505-2E9C-101B-9397-08002B2CF9AE}" pid="4" name="ICV">
    <vt:lpwstr>5925C0F439094F569D0B28ACF358DE41_13</vt:lpwstr>
  </property>
</Properties>
</file>