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0011" w:rsidRPr="00B77D89" w:rsidRDefault="00850011" w:rsidP="00850011">
      <w:pPr>
        <w:pStyle w:val="aa"/>
        <w:widowControl/>
        <w:spacing w:beforeAutospacing="0" w:afterAutospacing="0" w:line="384" w:lineRule="atLeast"/>
        <w:rPr>
          <w:rFonts w:ascii="黑体" w:eastAsia="黑体" w:hAnsi="黑体" w:hint="eastAsia"/>
          <w:sz w:val="32"/>
          <w:szCs w:val="32"/>
          <w:shd w:val="clear" w:color="auto" w:fill="FFFFFF"/>
        </w:rPr>
      </w:pPr>
      <w:r w:rsidRPr="00B77D89">
        <w:rPr>
          <w:rFonts w:ascii="黑体" w:eastAsia="黑体" w:hAnsi="黑体"/>
          <w:sz w:val="32"/>
          <w:szCs w:val="32"/>
          <w:shd w:val="clear" w:color="auto" w:fill="FFFFFF"/>
        </w:rPr>
        <w:t>附件</w:t>
      </w:r>
      <w:r>
        <w:rPr>
          <w:rFonts w:ascii="黑体" w:eastAsia="黑体" w:hAnsi="黑体" w:hint="eastAsia"/>
          <w:sz w:val="32"/>
          <w:szCs w:val="32"/>
          <w:shd w:val="clear" w:color="auto" w:fill="FFFFFF"/>
        </w:rPr>
        <w:t>2</w:t>
      </w:r>
    </w:p>
    <w:p w:rsidR="00850011" w:rsidRDefault="00850011" w:rsidP="00850011">
      <w:pPr>
        <w:spacing w:afterLines="50" w:after="156" w:line="560" w:lineRule="exact"/>
        <w:jc w:val="center"/>
        <w:rPr>
          <w:rFonts w:ascii="Times New Roman" w:eastAsia="方正小标宋简体" w:hAnsi="Times New Roman" w:cs="Times New Roman"/>
          <w:b/>
          <w:sz w:val="44"/>
          <w:szCs w:val="44"/>
        </w:rPr>
      </w:pPr>
    </w:p>
    <w:p w:rsidR="00850011" w:rsidRDefault="00850011" w:rsidP="00850011">
      <w:pPr>
        <w:spacing w:afterLines="50" w:after="156" w:line="560" w:lineRule="exact"/>
        <w:jc w:val="center"/>
        <w:rPr>
          <w:rFonts w:ascii="Times New Roman" w:eastAsia="方正小标宋简体" w:hAnsi="Times New Roman" w:cs="Times New Roman"/>
          <w:b/>
          <w:sz w:val="44"/>
          <w:szCs w:val="44"/>
        </w:rPr>
      </w:pPr>
    </w:p>
    <w:p w:rsidR="00850011" w:rsidRPr="00327F98" w:rsidRDefault="00850011" w:rsidP="00850011">
      <w:pPr>
        <w:spacing w:afterLines="50" w:after="156" w:line="560" w:lineRule="exact"/>
        <w:jc w:val="center"/>
        <w:rPr>
          <w:rFonts w:ascii="Times New Roman" w:eastAsia="方正小标宋简体" w:hAnsi="Times New Roman" w:cs="Times New Roman"/>
          <w:sz w:val="52"/>
          <w:szCs w:val="52"/>
        </w:rPr>
      </w:pPr>
    </w:p>
    <w:p w:rsidR="00850011" w:rsidRPr="00850011" w:rsidRDefault="00850011" w:rsidP="00850011">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管理科学与工程</w:t>
      </w:r>
      <w:r w:rsidRPr="00850011">
        <w:rPr>
          <w:rFonts w:ascii="Times New Roman" w:eastAsia="方正小标宋简体" w:hAnsi="Times New Roman" w:cs="Times New Roman"/>
          <w:spacing w:val="20"/>
          <w:sz w:val="44"/>
          <w:szCs w:val="44"/>
        </w:rPr>
        <w:t>学位授权</w:t>
      </w:r>
      <w:r w:rsidRPr="00850011">
        <w:rPr>
          <w:rFonts w:ascii="Times New Roman" w:eastAsia="方正小标宋简体" w:hAnsi="Times New Roman" w:cs="Times New Roman" w:hint="eastAsia"/>
          <w:spacing w:val="20"/>
          <w:sz w:val="44"/>
          <w:szCs w:val="44"/>
        </w:rPr>
        <w:t>点建设年度</w:t>
      </w:r>
      <w:r w:rsidRPr="00850011">
        <w:rPr>
          <w:rFonts w:ascii="Times New Roman" w:eastAsia="方正小标宋简体" w:hAnsi="Times New Roman" w:cs="Times New Roman"/>
          <w:spacing w:val="20"/>
          <w:sz w:val="44"/>
          <w:szCs w:val="44"/>
        </w:rPr>
        <w:t>报告</w:t>
      </w:r>
    </w:p>
    <w:p w:rsidR="00850011" w:rsidRPr="00850011" w:rsidRDefault="00850011" w:rsidP="00850011">
      <w:pPr>
        <w:spacing w:afterLines="50" w:after="156" w:line="560" w:lineRule="exact"/>
        <w:jc w:val="center"/>
        <w:rPr>
          <w:rFonts w:ascii="Times New Roman" w:eastAsia="方正小标宋简体" w:hAnsi="Times New Roman" w:cs="Times New Roman"/>
          <w:spacing w:val="20"/>
          <w:sz w:val="44"/>
          <w:szCs w:val="44"/>
        </w:rPr>
      </w:pPr>
      <w:r w:rsidRPr="00850011">
        <w:rPr>
          <w:rFonts w:ascii="Times New Roman" w:eastAsia="方正小标宋简体" w:hAnsi="Times New Roman" w:cs="Times New Roman" w:hint="eastAsia"/>
          <w:spacing w:val="20"/>
          <w:sz w:val="44"/>
          <w:szCs w:val="44"/>
        </w:rPr>
        <w:t>（</w:t>
      </w:r>
      <w:r w:rsidRPr="00850011">
        <w:rPr>
          <w:rFonts w:ascii="Times New Roman" w:eastAsia="方正小标宋简体" w:hAnsi="Times New Roman" w:cs="Times New Roman" w:hint="eastAsia"/>
          <w:spacing w:val="20"/>
          <w:sz w:val="44"/>
          <w:szCs w:val="44"/>
        </w:rPr>
        <w:t>2020</w:t>
      </w:r>
      <w:r w:rsidRPr="00850011">
        <w:rPr>
          <w:rFonts w:ascii="Times New Roman" w:eastAsia="方正小标宋简体" w:hAnsi="Times New Roman" w:cs="Times New Roman" w:hint="eastAsia"/>
          <w:spacing w:val="20"/>
          <w:sz w:val="44"/>
          <w:szCs w:val="44"/>
        </w:rPr>
        <w:t>年度）</w:t>
      </w:r>
    </w:p>
    <w:p w:rsidR="00850011" w:rsidRDefault="00850011" w:rsidP="00850011">
      <w:pPr>
        <w:spacing w:afterLines="50" w:after="156" w:line="560" w:lineRule="exact"/>
        <w:rPr>
          <w:rFonts w:ascii="Times New Roman" w:eastAsia="方正小标宋简体" w:hAnsi="Times New Roman" w:cs="Times New Roman"/>
          <w:b/>
          <w:sz w:val="44"/>
          <w:szCs w:val="44"/>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850011" w:rsidTr="00D14DC2">
        <w:trPr>
          <w:jc w:val="center"/>
        </w:trPr>
        <w:tc>
          <w:tcPr>
            <w:tcW w:w="2160" w:type="dxa"/>
            <w:vMerge w:val="restart"/>
            <w:vAlign w:val="center"/>
          </w:tcPr>
          <w:p w:rsidR="00850011" w:rsidRDefault="00850011" w:rsidP="00D14DC2">
            <w:pPr>
              <w:spacing w:line="200" w:lineRule="atLeast"/>
              <w:jc w:val="center"/>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rsidR="00850011" w:rsidRDefault="00850011" w:rsidP="00D14DC2">
            <w:pPr>
              <w:rPr>
                <w:rFonts w:eastAsia="楷体_GB2312"/>
                <w:b/>
                <w:sz w:val="30"/>
                <w:szCs w:val="30"/>
              </w:rPr>
            </w:pPr>
            <w:r>
              <w:rPr>
                <w:rFonts w:eastAsia="楷体_GB2312"/>
                <w:b/>
                <w:sz w:val="30"/>
                <w:szCs w:val="30"/>
              </w:rPr>
              <w:t>名称：</w:t>
            </w:r>
            <w:r>
              <w:rPr>
                <w:rFonts w:eastAsia="楷体_GB2312" w:hint="eastAsia"/>
                <w:b/>
                <w:sz w:val="30"/>
                <w:szCs w:val="30"/>
              </w:rPr>
              <w:t>南昌航空大学</w:t>
            </w:r>
          </w:p>
        </w:tc>
      </w:tr>
      <w:tr w:rsidR="00850011" w:rsidTr="00D14DC2">
        <w:trPr>
          <w:jc w:val="center"/>
        </w:trPr>
        <w:tc>
          <w:tcPr>
            <w:tcW w:w="2160" w:type="dxa"/>
            <w:vMerge/>
            <w:vAlign w:val="center"/>
          </w:tcPr>
          <w:p w:rsidR="00850011" w:rsidRDefault="00850011" w:rsidP="00D14DC2">
            <w:pPr>
              <w:jc w:val="center"/>
              <w:rPr>
                <w:rFonts w:eastAsia="楷体_GB2312"/>
                <w:b/>
                <w:sz w:val="30"/>
                <w:szCs w:val="30"/>
              </w:rPr>
            </w:pPr>
          </w:p>
        </w:tc>
        <w:tc>
          <w:tcPr>
            <w:tcW w:w="2880" w:type="dxa"/>
            <w:tcBorders>
              <w:top w:val="single" w:sz="4" w:space="0" w:color="auto"/>
            </w:tcBorders>
            <w:vAlign w:val="center"/>
          </w:tcPr>
          <w:p w:rsidR="00850011" w:rsidRDefault="00850011" w:rsidP="00D14DC2">
            <w:pPr>
              <w:rPr>
                <w:rFonts w:eastAsia="楷体_GB2312"/>
                <w:b/>
                <w:sz w:val="30"/>
                <w:szCs w:val="30"/>
              </w:rPr>
            </w:pPr>
            <w:r>
              <w:rPr>
                <w:rFonts w:eastAsia="楷体_GB2312"/>
                <w:b/>
                <w:sz w:val="30"/>
                <w:szCs w:val="30"/>
              </w:rPr>
              <w:t>代码：</w:t>
            </w:r>
            <w:r>
              <w:rPr>
                <w:rFonts w:eastAsia="楷体_GB2312" w:hint="eastAsia"/>
                <w:b/>
                <w:sz w:val="30"/>
                <w:szCs w:val="30"/>
              </w:rPr>
              <w:t>10406</w:t>
            </w:r>
          </w:p>
        </w:tc>
      </w:tr>
    </w:tbl>
    <w:p w:rsidR="00850011" w:rsidRDefault="00850011" w:rsidP="00850011">
      <w:pPr>
        <w:spacing w:line="720" w:lineRule="auto"/>
        <w:jc w:val="center"/>
        <w:rPr>
          <w:rFonts w:ascii="Times New Roman" w:eastAsia="楷体_GB2312" w:hAnsi="Times New Roman" w:cs="Times New Roman"/>
          <w:b/>
          <w:sz w:val="30"/>
          <w:szCs w:val="30"/>
        </w:rPr>
      </w:pPr>
    </w:p>
    <w:tbl>
      <w:tblPr>
        <w:tblStyle w:val="af2"/>
        <w:tblW w:w="5568"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410"/>
        <w:gridCol w:w="3158"/>
      </w:tblGrid>
      <w:tr w:rsidR="00850011" w:rsidTr="00850011">
        <w:trPr>
          <w:jc w:val="center"/>
        </w:trPr>
        <w:tc>
          <w:tcPr>
            <w:tcW w:w="2410" w:type="dxa"/>
            <w:vMerge w:val="restart"/>
            <w:vAlign w:val="center"/>
          </w:tcPr>
          <w:p w:rsidR="00850011" w:rsidRDefault="00850011" w:rsidP="00D14DC2">
            <w:pPr>
              <w:jc w:val="center"/>
              <w:rPr>
                <w:rFonts w:eastAsia="楷体_GB2312"/>
                <w:b/>
                <w:sz w:val="30"/>
                <w:szCs w:val="30"/>
              </w:rPr>
            </w:pPr>
            <w:r w:rsidRPr="002D24E5">
              <w:rPr>
                <w:rFonts w:eastAsia="楷体_GB2312"/>
                <w:b/>
                <w:spacing w:val="100"/>
                <w:kern w:val="0"/>
                <w:sz w:val="30"/>
                <w:szCs w:val="30"/>
                <w:fitText w:val="1806" w:id="-753149184"/>
              </w:rPr>
              <w:t>授权学</w:t>
            </w:r>
            <w:r w:rsidRPr="002D24E5">
              <w:rPr>
                <w:rFonts w:eastAsia="楷体_GB2312"/>
                <w:b/>
                <w:spacing w:val="1"/>
                <w:kern w:val="0"/>
                <w:sz w:val="30"/>
                <w:szCs w:val="30"/>
                <w:fitText w:val="1806" w:id="-753149184"/>
              </w:rPr>
              <w:t>科</w:t>
            </w:r>
          </w:p>
          <w:p w:rsidR="00850011" w:rsidRDefault="00850011" w:rsidP="00D14DC2">
            <w:pPr>
              <w:jc w:val="center"/>
              <w:rPr>
                <w:rFonts w:eastAsia="楷体_GB2312"/>
                <w:b/>
                <w:sz w:val="30"/>
                <w:szCs w:val="30"/>
              </w:rPr>
            </w:pPr>
            <w:r>
              <w:rPr>
                <w:rFonts w:eastAsia="楷体_GB2312"/>
                <w:b/>
                <w:sz w:val="30"/>
                <w:szCs w:val="30"/>
              </w:rPr>
              <w:t>（类别）</w:t>
            </w:r>
          </w:p>
        </w:tc>
        <w:tc>
          <w:tcPr>
            <w:tcW w:w="3158" w:type="dxa"/>
            <w:tcBorders>
              <w:bottom w:val="single" w:sz="4" w:space="0" w:color="auto"/>
            </w:tcBorders>
            <w:vAlign w:val="center"/>
          </w:tcPr>
          <w:p w:rsidR="00850011" w:rsidRDefault="00850011" w:rsidP="00D14DC2">
            <w:pPr>
              <w:rPr>
                <w:rFonts w:eastAsia="楷体_GB2312"/>
                <w:b/>
                <w:sz w:val="30"/>
                <w:szCs w:val="30"/>
              </w:rPr>
            </w:pPr>
            <w:r>
              <w:rPr>
                <w:rFonts w:eastAsia="楷体_GB2312"/>
                <w:b/>
                <w:sz w:val="30"/>
                <w:szCs w:val="30"/>
              </w:rPr>
              <w:t>名称：</w:t>
            </w:r>
            <w:r>
              <w:rPr>
                <w:rFonts w:eastAsia="楷体_GB2312" w:hint="eastAsia"/>
                <w:b/>
                <w:sz w:val="30"/>
                <w:szCs w:val="30"/>
              </w:rPr>
              <w:t>管理科学与工程</w:t>
            </w:r>
          </w:p>
        </w:tc>
      </w:tr>
      <w:tr w:rsidR="00850011" w:rsidTr="00850011">
        <w:trPr>
          <w:jc w:val="center"/>
        </w:trPr>
        <w:tc>
          <w:tcPr>
            <w:tcW w:w="2410" w:type="dxa"/>
            <w:vMerge/>
            <w:vAlign w:val="center"/>
          </w:tcPr>
          <w:p w:rsidR="00850011" w:rsidRDefault="00850011" w:rsidP="00D14DC2">
            <w:pPr>
              <w:rPr>
                <w:rFonts w:eastAsia="楷体_GB2312"/>
                <w:b/>
                <w:sz w:val="30"/>
                <w:szCs w:val="30"/>
              </w:rPr>
            </w:pPr>
          </w:p>
        </w:tc>
        <w:tc>
          <w:tcPr>
            <w:tcW w:w="3158" w:type="dxa"/>
            <w:tcBorders>
              <w:top w:val="single" w:sz="4" w:space="0" w:color="auto"/>
            </w:tcBorders>
            <w:vAlign w:val="center"/>
          </w:tcPr>
          <w:p w:rsidR="00850011" w:rsidRDefault="00850011" w:rsidP="00D14DC2">
            <w:pPr>
              <w:rPr>
                <w:rFonts w:eastAsia="楷体_GB2312"/>
                <w:b/>
                <w:sz w:val="30"/>
                <w:szCs w:val="30"/>
              </w:rPr>
            </w:pPr>
            <w:r>
              <w:rPr>
                <w:rFonts w:eastAsia="楷体_GB2312"/>
                <w:b/>
                <w:sz w:val="30"/>
                <w:szCs w:val="30"/>
              </w:rPr>
              <w:t>代码：</w:t>
            </w:r>
            <w:r>
              <w:rPr>
                <w:rFonts w:eastAsia="楷体_GB2312" w:hint="eastAsia"/>
                <w:b/>
                <w:sz w:val="30"/>
                <w:szCs w:val="30"/>
              </w:rPr>
              <w:t>1201</w:t>
            </w:r>
          </w:p>
        </w:tc>
      </w:tr>
    </w:tbl>
    <w:p w:rsidR="00850011" w:rsidRDefault="00850011" w:rsidP="00850011">
      <w:pPr>
        <w:spacing w:line="720" w:lineRule="auto"/>
        <w:jc w:val="center"/>
        <w:rPr>
          <w:rFonts w:ascii="Times New Roman" w:eastAsia="楷体_GB2312" w:hAnsi="Times New Roman" w:cs="Times New Roman"/>
          <w:b/>
          <w:sz w:val="30"/>
          <w:szCs w:val="30"/>
        </w:rPr>
      </w:pPr>
    </w:p>
    <w:tbl>
      <w:tblPr>
        <w:tblStyle w:val="af2"/>
        <w:tblW w:w="5040"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850011" w:rsidTr="00D14DC2">
        <w:trPr>
          <w:jc w:val="center"/>
        </w:trPr>
        <w:tc>
          <w:tcPr>
            <w:tcW w:w="2160" w:type="dxa"/>
            <w:vMerge w:val="restart"/>
            <w:vAlign w:val="center"/>
          </w:tcPr>
          <w:p w:rsidR="00850011" w:rsidRDefault="00850011" w:rsidP="00D14DC2">
            <w:pPr>
              <w:jc w:val="distribute"/>
              <w:rPr>
                <w:rFonts w:eastAsia="楷体_GB2312"/>
                <w:b/>
                <w:sz w:val="30"/>
                <w:szCs w:val="30"/>
              </w:rPr>
            </w:pPr>
            <w:r w:rsidRPr="002D24E5">
              <w:rPr>
                <w:rFonts w:eastAsia="楷体_GB2312"/>
                <w:b/>
                <w:spacing w:val="100"/>
                <w:kern w:val="0"/>
                <w:sz w:val="30"/>
                <w:szCs w:val="30"/>
                <w:fitText w:val="1806" w:id="-753149183"/>
              </w:rPr>
              <w:t>授权级</w:t>
            </w:r>
            <w:r w:rsidRPr="002D24E5">
              <w:rPr>
                <w:rFonts w:eastAsia="楷体_GB2312"/>
                <w:b/>
                <w:spacing w:val="1"/>
                <w:kern w:val="0"/>
                <w:sz w:val="30"/>
                <w:szCs w:val="30"/>
                <w:fitText w:val="1806" w:id="-753149183"/>
              </w:rPr>
              <w:t>别</w:t>
            </w:r>
          </w:p>
        </w:tc>
        <w:tc>
          <w:tcPr>
            <w:tcW w:w="2880" w:type="dxa"/>
            <w:tcBorders>
              <w:bottom w:val="single" w:sz="4" w:space="0" w:color="auto"/>
            </w:tcBorders>
            <w:vAlign w:val="center"/>
          </w:tcPr>
          <w:p w:rsidR="00850011" w:rsidRDefault="002D24E5" w:rsidP="00D14DC2">
            <w:pPr>
              <w:rPr>
                <w:rFonts w:eastAsia="楷体_GB2312"/>
                <w:b/>
                <w:sz w:val="30"/>
                <w:szCs w:val="30"/>
              </w:rPr>
            </w:pPr>
            <w:r w:rsidRPr="002D24E5">
              <w:rPr>
                <w:rFonts w:eastAsia="楷体_GB2312" w:hint="eastAsia"/>
                <w:b/>
                <w:sz w:val="30"/>
                <w:szCs w:val="30"/>
              </w:rPr>
              <w:t>□</w:t>
            </w:r>
            <w:r w:rsidRPr="002D24E5">
              <w:rPr>
                <w:rFonts w:eastAsia="楷体_GB2312" w:hint="eastAsia"/>
                <w:b/>
                <w:sz w:val="30"/>
                <w:szCs w:val="30"/>
              </w:rPr>
              <w:t xml:space="preserve"> </w:t>
            </w:r>
            <w:r w:rsidR="00850011">
              <w:rPr>
                <w:rFonts w:eastAsia="楷体_GB2312"/>
                <w:b/>
                <w:sz w:val="30"/>
                <w:szCs w:val="30"/>
              </w:rPr>
              <w:t xml:space="preserve"> </w:t>
            </w:r>
            <w:r w:rsidR="00850011">
              <w:rPr>
                <w:rFonts w:eastAsia="楷体_GB2312"/>
                <w:b/>
                <w:sz w:val="30"/>
                <w:szCs w:val="30"/>
              </w:rPr>
              <w:t>博</w:t>
            </w:r>
            <w:r w:rsidR="00850011">
              <w:rPr>
                <w:rFonts w:eastAsia="楷体_GB2312"/>
                <w:b/>
                <w:sz w:val="30"/>
                <w:szCs w:val="30"/>
              </w:rPr>
              <w:t xml:space="preserve">  </w:t>
            </w:r>
            <w:r w:rsidR="00850011">
              <w:rPr>
                <w:rFonts w:eastAsia="楷体_GB2312"/>
                <w:b/>
                <w:sz w:val="30"/>
                <w:szCs w:val="30"/>
              </w:rPr>
              <w:t>士</w:t>
            </w:r>
          </w:p>
        </w:tc>
      </w:tr>
      <w:tr w:rsidR="00850011" w:rsidTr="00D14DC2">
        <w:trPr>
          <w:jc w:val="center"/>
        </w:trPr>
        <w:tc>
          <w:tcPr>
            <w:tcW w:w="2160" w:type="dxa"/>
            <w:vMerge/>
          </w:tcPr>
          <w:p w:rsidR="00850011" w:rsidRDefault="00850011" w:rsidP="00D14DC2">
            <w:pPr>
              <w:jc w:val="center"/>
              <w:rPr>
                <w:rFonts w:eastAsia="楷体_GB2312"/>
                <w:b/>
                <w:sz w:val="30"/>
                <w:szCs w:val="30"/>
              </w:rPr>
            </w:pPr>
          </w:p>
        </w:tc>
        <w:tc>
          <w:tcPr>
            <w:tcW w:w="2880" w:type="dxa"/>
            <w:tcBorders>
              <w:top w:val="single" w:sz="4" w:space="0" w:color="auto"/>
            </w:tcBorders>
            <w:vAlign w:val="center"/>
          </w:tcPr>
          <w:p w:rsidR="00850011" w:rsidRDefault="00850011" w:rsidP="00D14DC2">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proofErr w:type="gramStart"/>
            <w:r>
              <w:rPr>
                <w:rFonts w:eastAsia="楷体_GB2312"/>
                <w:b/>
                <w:sz w:val="30"/>
                <w:szCs w:val="30"/>
              </w:rPr>
              <w:t>硕</w:t>
            </w:r>
            <w:proofErr w:type="gramEnd"/>
            <w:r>
              <w:rPr>
                <w:rFonts w:eastAsia="楷体_GB2312"/>
                <w:b/>
                <w:sz w:val="30"/>
                <w:szCs w:val="30"/>
              </w:rPr>
              <w:t xml:space="preserve">  </w:t>
            </w:r>
            <w:r>
              <w:rPr>
                <w:rFonts w:eastAsia="楷体_GB2312"/>
                <w:b/>
                <w:sz w:val="30"/>
                <w:szCs w:val="30"/>
              </w:rPr>
              <w:t>士</w:t>
            </w:r>
          </w:p>
        </w:tc>
      </w:tr>
    </w:tbl>
    <w:p w:rsidR="00850011" w:rsidRDefault="00850011" w:rsidP="00850011">
      <w:pPr>
        <w:rPr>
          <w:rFonts w:ascii="Times New Roman" w:eastAsia="楷体_GB2312" w:hAnsi="Times New Roman" w:cs="Times New Roman"/>
          <w:b/>
          <w:sz w:val="30"/>
          <w:szCs w:val="30"/>
        </w:rPr>
      </w:pPr>
    </w:p>
    <w:p w:rsidR="00850011" w:rsidRDefault="00850011" w:rsidP="00850011">
      <w:pPr>
        <w:jc w:val="center"/>
        <w:rPr>
          <w:rFonts w:ascii="Times New Roman" w:eastAsia="楷体_GB2312" w:hAnsi="Times New Roman" w:cs="Times New Roman"/>
          <w:b/>
          <w:sz w:val="30"/>
          <w:szCs w:val="30"/>
        </w:rPr>
      </w:pPr>
    </w:p>
    <w:p w:rsidR="006C3C80" w:rsidRPr="00850011" w:rsidRDefault="00850011" w:rsidP="00850011">
      <w:pPr>
        <w:jc w:val="center"/>
        <w:rPr>
          <w:rFonts w:ascii="楷体_GB2312" w:eastAsia="楷体_GB2312" w:hAnsi="Times New Roman" w:cs="Times New Roman"/>
          <w:b/>
          <w:sz w:val="36"/>
          <w:szCs w:val="30"/>
        </w:rPr>
        <w:sectPr w:rsidR="006C3C80" w:rsidRPr="00850011">
          <w:headerReference w:type="even" r:id="rId8"/>
          <w:headerReference w:type="default" r:id="rId9"/>
          <w:footerReference w:type="even" r:id="rId10"/>
          <w:footerReference w:type="default" r:id="rId11"/>
          <w:headerReference w:type="first" r:id="rId12"/>
          <w:footerReference w:type="first" r:id="rId13"/>
          <w:pgSz w:w="11906" w:h="16838"/>
          <w:pgMar w:top="2155" w:right="1435" w:bottom="1588" w:left="1435" w:header="851" w:footer="1587" w:gutter="0"/>
          <w:cols w:space="425"/>
          <w:titlePg/>
          <w:docGrid w:type="lines" w:linePitch="312"/>
        </w:sectPr>
      </w:pPr>
      <w:r w:rsidRPr="00404C6B">
        <w:rPr>
          <w:rFonts w:ascii="楷体_GB2312" w:eastAsia="楷体_GB2312" w:hAnsi="Times New Roman" w:cs="Times New Roman" w:hint="eastAsia"/>
          <w:b/>
          <w:sz w:val="36"/>
          <w:szCs w:val="30"/>
        </w:rPr>
        <w:t>202</w:t>
      </w:r>
      <w:r w:rsidR="008E1352">
        <w:rPr>
          <w:rFonts w:ascii="楷体_GB2312" w:eastAsia="楷体_GB2312" w:hAnsi="Times New Roman" w:cs="Times New Roman" w:hint="eastAsia"/>
          <w:b/>
          <w:sz w:val="36"/>
          <w:szCs w:val="30"/>
        </w:rPr>
        <w:t>0</w:t>
      </w:r>
      <w:r w:rsidRPr="00404C6B">
        <w:rPr>
          <w:rFonts w:ascii="楷体_GB2312" w:eastAsia="楷体_GB2312" w:hAnsi="Times New Roman" w:cs="Times New Roman" w:hint="eastAsia"/>
          <w:b/>
          <w:sz w:val="36"/>
          <w:szCs w:val="30"/>
        </w:rPr>
        <w:t>年</w:t>
      </w:r>
      <w:r w:rsidR="008E1352">
        <w:rPr>
          <w:rFonts w:ascii="楷体_GB2312" w:eastAsia="楷体_GB2312" w:hAnsi="Times New Roman" w:cs="Times New Roman" w:hint="eastAsia"/>
          <w:b/>
          <w:sz w:val="36"/>
          <w:szCs w:val="30"/>
        </w:rPr>
        <w:t>12</w:t>
      </w:r>
      <w:r w:rsidRPr="00404C6B">
        <w:rPr>
          <w:rFonts w:ascii="楷体_GB2312" w:eastAsia="楷体_GB2312" w:hAnsi="Times New Roman" w:cs="Times New Roman" w:hint="eastAsia"/>
          <w:b/>
          <w:sz w:val="36"/>
          <w:szCs w:val="30"/>
        </w:rPr>
        <w:t>月</w:t>
      </w:r>
      <w:r w:rsidR="008E1352">
        <w:rPr>
          <w:rFonts w:ascii="楷体_GB2312" w:eastAsia="楷体_GB2312" w:hAnsi="Times New Roman" w:cs="Times New Roman" w:hint="eastAsia"/>
          <w:b/>
          <w:sz w:val="36"/>
          <w:szCs w:val="30"/>
        </w:rPr>
        <w:t>30</w:t>
      </w:r>
      <w:r w:rsidRPr="00404C6B">
        <w:rPr>
          <w:rFonts w:ascii="楷体_GB2312" w:eastAsia="楷体_GB2312" w:hAnsi="Times New Roman" w:cs="Times New Roman" w:hint="eastAsia"/>
          <w:b/>
          <w:sz w:val="36"/>
          <w:szCs w:val="30"/>
        </w:rPr>
        <w:t>日</w:t>
      </w:r>
      <w:r>
        <w:rPr>
          <w:rStyle w:val="NormalCharacter"/>
          <w:rFonts w:ascii="楷体_GB2312" w:eastAsia="楷体_GB2312" w:hAnsi="Times New Roman"/>
          <w:b/>
          <w:sz w:val="36"/>
          <w:szCs w:val="32"/>
        </w:rPr>
        <w:tab/>
      </w:r>
    </w:p>
    <w:p w:rsidR="006C3C80" w:rsidRDefault="00000000">
      <w:pPr>
        <w:spacing w:line="360" w:lineRule="auto"/>
        <w:ind w:firstLineChars="200" w:firstLine="640"/>
        <w:textAlignment w:val="baseline"/>
        <w:rPr>
          <w:rFonts w:ascii="宋体" w:eastAsia="宋体" w:hAnsi="宋体" w:cs="宋体" w:hint="eastAsia"/>
          <w:spacing w:val="-3"/>
          <w:sz w:val="28"/>
          <w:szCs w:val="28"/>
        </w:rPr>
      </w:pPr>
      <w:r>
        <w:rPr>
          <w:rFonts w:ascii="黑体" w:eastAsia="黑体" w:hAnsi="黑体" w:cs="黑体" w:hint="eastAsia"/>
          <w:sz w:val="32"/>
          <w:szCs w:val="32"/>
        </w:rPr>
        <w:lastRenderedPageBreak/>
        <w:t>一、</w:t>
      </w:r>
      <w:r>
        <w:rPr>
          <w:rStyle w:val="NormalCharacter"/>
          <w:rFonts w:ascii="黑体" w:eastAsia="黑体" w:hAnsi="黑体" w:cs="黑体" w:hint="eastAsia"/>
          <w:szCs w:val="32"/>
        </w:rPr>
        <w:t>总体概况</w:t>
      </w:r>
    </w:p>
    <w:p w:rsidR="006C3C80" w:rsidRDefault="00000000">
      <w:pPr>
        <w:spacing w:line="360" w:lineRule="auto"/>
        <w:ind w:left="19" w:firstLineChars="200" w:firstLine="548"/>
        <w:outlineLvl w:val="1"/>
        <w:rPr>
          <w:rFonts w:ascii="宋体" w:eastAsia="宋体" w:hAnsi="宋体" w:cs="宋体" w:hint="eastAsia"/>
          <w:spacing w:val="-3"/>
          <w:sz w:val="28"/>
          <w:szCs w:val="28"/>
        </w:rPr>
      </w:pPr>
      <w:r>
        <w:rPr>
          <w:rFonts w:ascii="宋体" w:eastAsia="宋体" w:hAnsi="宋体" w:cs="宋体"/>
          <w:spacing w:val="-3"/>
          <w:sz w:val="28"/>
          <w:szCs w:val="28"/>
        </w:rPr>
        <w:t>（一）学位授权点基本情况</w:t>
      </w:r>
    </w:p>
    <w:p w:rsidR="006C3C80" w:rsidRDefault="00000000">
      <w:pPr>
        <w:pStyle w:val="a0"/>
        <w:spacing w:after="0" w:line="360" w:lineRule="auto"/>
        <w:ind w:firstLine="567"/>
        <w:rPr>
          <w:rFonts w:ascii="宋体" w:hAnsi="宋体" w:cs="宋体" w:hint="eastAsia"/>
          <w:spacing w:val="-2"/>
          <w:sz w:val="28"/>
          <w:szCs w:val="28"/>
        </w:rPr>
      </w:pPr>
      <w:r>
        <w:rPr>
          <w:rFonts w:ascii="Times New Roman" w:hAnsi="Times New Roman" w:cs="宋体"/>
          <w:spacing w:val="11"/>
          <w:sz w:val="28"/>
          <w:szCs w:val="28"/>
        </w:rPr>
        <w:t>本学位授权点于</w:t>
      </w:r>
      <w:r>
        <w:rPr>
          <w:rFonts w:ascii="Times New Roman" w:hAnsi="Times New Roman" w:cs="宋体"/>
          <w:spacing w:val="11"/>
          <w:sz w:val="28"/>
          <w:szCs w:val="28"/>
        </w:rPr>
        <w:t>2011</w:t>
      </w:r>
      <w:r>
        <w:rPr>
          <w:rFonts w:ascii="Times New Roman" w:hAnsi="Times New Roman" w:cs="宋体"/>
          <w:spacing w:val="11"/>
          <w:sz w:val="28"/>
          <w:szCs w:val="28"/>
        </w:rPr>
        <w:t>年获批管理科学与工程一级学科硕士学位授予权，</w:t>
      </w:r>
      <w:r>
        <w:rPr>
          <w:rFonts w:ascii="Times New Roman" w:hAnsi="Times New Roman" w:cs="宋体"/>
          <w:spacing w:val="11"/>
          <w:sz w:val="28"/>
          <w:szCs w:val="28"/>
        </w:rPr>
        <w:t>2012</w:t>
      </w:r>
      <w:r>
        <w:rPr>
          <w:rFonts w:ascii="Times New Roman" w:hAnsi="Times New Roman" w:cs="宋体"/>
          <w:spacing w:val="11"/>
          <w:sz w:val="28"/>
          <w:szCs w:val="28"/>
        </w:rPr>
        <w:t>年开始招收研究生。</w:t>
      </w:r>
      <w:r>
        <w:rPr>
          <w:rFonts w:ascii="Times New Roman" w:hAnsi="Times New Roman" w:cs="宋体"/>
          <w:spacing w:val="11"/>
          <w:sz w:val="28"/>
          <w:szCs w:val="28"/>
        </w:rPr>
        <w:t xml:space="preserve">2018 </w:t>
      </w:r>
      <w:r>
        <w:rPr>
          <w:rFonts w:ascii="Times New Roman" w:hAnsi="Times New Roman" w:cs="宋体"/>
          <w:spacing w:val="11"/>
          <w:sz w:val="28"/>
          <w:szCs w:val="28"/>
        </w:rPr>
        <w:t>年顺利通过教育部合格评估。下设</w:t>
      </w:r>
      <w:r>
        <w:rPr>
          <w:rFonts w:ascii="Times New Roman" w:hAnsi="Times New Roman" w:cs="宋体"/>
          <w:spacing w:val="11"/>
          <w:sz w:val="28"/>
          <w:szCs w:val="28"/>
        </w:rPr>
        <w:t>3</w:t>
      </w:r>
      <w:r>
        <w:rPr>
          <w:rFonts w:ascii="Times New Roman" w:hAnsi="Times New Roman" w:cs="宋体"/>
          <w:spacing w:val="11"/>
          <w:sz w:val="28"/>
          <w:szCs w:val="28"/>
        </w:rPr>
        <w:t>个二级学科点，分别为区域管理与公共政策、区域与产业经济管理、体育管理学</w:t>
      </w:r>
      <w:r>
        <w:rPr>
          <w:rFonts w:ascii="Times New Roman" w:hAnsi="Times New Roman" w:cs="宋体" w:hint="eastAsia"/>
          <w:spacing w:val="13"/>
          <w:sz w:val="28"/>
          <w:szCs w:val="28"/>
        </w:rPr>
        <w:t>。学位点陆续搭建了具有学科、行业特色鲜明的科研平台</w:t>
      </w:r>
      <w:r>
        <w:rPr>
          <w:rFonts w:ascii="Times New Roman" w:hAnsi="Times New Roman" w:cs="宋体" w:hint="eastAsia"/>
          <w:spacing w:val="13"/>
          <w:sz w:val="28"/>
          <w:szCs w:val="28"/>
        </w:rPr>
        <w:t>6</w:t>
      </w:r>
      <w:r>
        <w:rPr>
          <w:rFonts w:ascii="Times New Roman" w:hAnsi="Times New Roman" w:cs="宋体" w:hint="eastAsia"/>
          <w:spacing w:val="13"/>
          <w:sz w:val="28"/>
          <w:szCs w:val="28"/>
        </w:rPr>
        <w:t>个。其中，省级科研平台</w:t>
      </w:r>
      <w:r>
        <w:rPr>
          <w:rFonts w:ascii="Times New Roman" w:hAnsi="Times New Roman" w:cs="宋体" w:hint="eastAsia"/>
          <w:spacing w:val="13"/>
          <w:sz w:val="28"/>
          <w:szCs w:val="28"/>
        </w:rPr>
        <w:t>2</w:t>
      </w:r>
      <w:r>
        <w:rPr>
          <w:rFonts w:ascii="Times New Roman" w:hAnsi="Times New Roman" w:cs="宋体" w:hint="eastAsia"/>
          <w:spacing w:val="13"/>
          <w:sz w:val="28"/>
          <w:szCs w:val="28"/>
        </w:rPr>
        <w:t>个，校级平台</w:t>
      </w:r>
      <w:r>
        <w:rPr>
          <w:rFonts w:ascii="Times New Roman" w:hAnsi="Times New Roman" w:cs="宋体" w:hint="eastAsia"/>
          <w:spacing w:val="13"/>
          <w:sz w:val="28"/>
          <w:szCs w:val="28"/>
        </w:rPr>
        <w:t>4</w:t>
      </w:r>
      <w:r>
        <w:rPr>
          <w:rFonts w:ascii="Times New Roman" w:hAnsi="Times New Roman" w:cs="宋体" w:hint="eastAsia"/>
          <w:spacing w:val="13"/>
          <w:sz w:val="28"/>
          <w:szCs w:val="28"/>
        </w:rPr>
        <w:t>个。包括江西省航空产业发展与管理创新研究基地（江西省科技厅软科学基地）、军民融合与航空发展研究院（江西省社联重点高端智库）、江西区域经济与竞争力研究中心等。</w:t>
      </w:r>
    </w:p>
    <w:p w:rsidR="006C3C80" w:rsidRDefault="00000000">
      <w:pPr>
        <w:spacing w:line="360" w:lineRule="auto"/>
        <w:ind w:left="19" w:firstLineChars="200" w:firstLine="552"/>
        <w:outlineLvl w:val="1"/>
        <w:rPr>
          <w:rFonts w:ascii="宋体" w:eastAsia="宋体" w:hAnsi="宋体" w:cs="宋体" w:hint="eastAsia"/>
          <w:spacing w:val="-2"/>
          <w:sz w:val="28"/>
          <w:szCs w:val="28"/>
        </w:rPr>
      </w:pPr>
      <w:r>
        <w:rPr>
          <w:rFonts w:ascii="宋体" w:eastAsia="宋体" w:hAnsi="宋体" w:cs="宋体"/>
          <w:spacing w:val="-2"/>
          <w:sz w:val="28"/>
          <w:szCs w:val="28"/>
        </w:rPr>
        <w:t>（二）人才培养情况</w:t>
      </w:r>
    </w:p>
    <w:p w:rsidR="006C3C80" w:rsidRDefault="00000000">
      <w:pPr>
        <w:spacing w:line="360" w:lineRule="auto"/>
        <w:ind w:firstLine="607"/>
        <w:rPr>
          <w:rFonts w:ascii="Times New Roman" w:eastAsia="宋体" w:hAnsi="Times New Roman" w:cs="宋体"/>
          <w:spacing w:val="11"/>
          <w:sz w:val="28"/>
          <w:szCs w:val="28"/>
        </w:rPr>
      </w:pPr>
      <w:r w:rsidRPr="00BF04D5">
        <w:rPr>
          <w:rFonts w:ascii="Times New Roman" w:eastAsia="宋体" w:hAnsi="Times New Roman" w:cs="宋体" w:hint="eastAsia"/>
          <w:spacing w:val="11"/>
          <w:sz w:val="28"/>
          <w:szCs w:val="28"/>
        </w:rPr>
        <w:t>2</w:t>
      </w:r>
      <w:r w:rsidRPr="00BF04D5">
        <w:rPr>
          <w:rFonts w:ascii="Times New Roman" w:eastAsia="宋体" w:hAnsi="Times New Roman" w:cs="宋体"/>
          <w:spacing w:val="11"/>
          <w:sz w:val="28"/>
          <w:szCs w:val="28"/>
        </w:rPr>
        <w:t>02</w:t>
      </w:r>
      <w:r w:rsidRPr="00BF04D5">
        <w:rPr>
          <w:rFonts w:ascii="Times New Roman" w:eastAsia="宋体" w:hAnsi="Times New Roman" w:cs="宋体" w:hint="eastAsia"/>
          <w:spacing w:val="11"/>
          <w:sz w:val="28"/>
          <w:szCs w:val="28"/>
        </w:rPr>
        <w:t>0</w:t>
      </w:r>
      <w:r w:rsidRPr="00BF04D5">
        <w:rPr>
          <w:rFonts w:ascii="Times New Roman" w:eastAsia="宋体" w:hAnsi="Times New Roman" w:cs="宋体"/>
          <w:spacing w:val="11"/>
          <w:sz w:val="28"/>
          <w:szCs w:val="28"/>
        </w:rPr>
        <w:t>年完成硕士研究</w:t>
      </w:r>
      <w:r w:rsidRPr="00BF04D5">
        <w:rPr>
          <w:rFonts w:ascii="Times New Roman" w:eastAsia="宋体" w:hAnsi="Times New Roman" w:cs="宋体" w:hint="eastAsia"/>
          <w:spacing w:val="13"/>
          <w:sz w:val="28"/>
          <w:szCs w:val="28"/>
        </w:rPr>
        <w:t>生招生</w:t>
      </w:r>
      <w:r w:rsidR="00874D77" w:rsidRPr="00BF04D5">
        <w:rPr>
          <w:rFonts w:ascii="Times New Roman" w:eastAsia="宋体" w:hAnsi="Times New Roman" w:cs="宋体" w:hint="eastAsia"/>
          <w:spacing w:val="13"/>
          <w:sz w:val="28"/>
          <w:szCs w:val="28"/>
        </w:rPr>
        <w:t>33</w:t>
      </w:r>
      <w:r w:rsidRPr="00BF04D5">
        <w:rPr>
          <w:rFonts w:ascii="Times New Roman" w:eastAsia="宋体" w:hAnsi="Times New Roman" w:cs="宋体" w:hint="eastAsia"/>
          <w:spacing w:val="13"/>
          <w:sz w:val="28"/>
          <w:szCs w:val="28"/>
        </w:rPr>
        <w:t>人；</w:t>
      </w:r>
      <w:r w:rsidRPr="00BF04D5">
        <w:rPr>
          <w:rFonts w:ascii="Times New Roman" w:eastAsia="宋体" w:hAnsi="Times New Roman" w:cs="宋体" w:hint="eastAsia"/>
          <w:spacing w:val="13"/>
          <w:sz w:val="28"/>
          <w:szCs w:val="28"/>
        </w:rPr>
        <w:t>2020</w:t>
      </w:r>
      <w:r w:rsidRPr="00BF04D5">
        <w:rPr>
          <w:rFonts w:ascii="Times New Roman" w:eastAsia="宋体" w:hAnsi="Times New Roman" w:cs="宋体" w:hint="eastAsia"/>
          <w:spacing w:val="13"/>
          <w:sz w:val="28"/>
          <w:szCs w:val="28"/>
        </w:rPr>
        <w:t>届硕士毕业</w:t>
      </w:r>
      <w:r w:rsidRPr="00BF04D5">
        <w:rPr>
          <w:rFonts w:ascii="Times New Roman" w:eastAsia="宋体" w:hAnsi="Times New Roman" w:cs="宋体" w:hint="eastAsia"/>
          <w:spacing w:val="13"/>
          <w:sz w:val="28"/>
          <w:szCs w:val="28"/>
        </w:rPr>
        <w:t>27</w:t>
      </w:r>
      <w:r w:rsidRPr="00BF04D5">
        <w:rPr>
          <w:rFonts w:ascii="Times New Roman" w:eastAsia="宋体" w:hAnsi="Times New Roman" w:cs="宋体" w:hint="eastAsia"/>
          <w:spacing w:val="13"/>
          <w:sz w:val="28"/>
          <w:szCs w:val="28"/>
        </w:rPr>
        <w:t>人，就业率</w:t>
      </w:r>
      <w:r w:rsidR="00874D77" w:rsidRPr="00BF04D5">
        <w:rPr>
          <w:rFonts w:ascii="Times New Roman" w:eastAsia="宋体" w:hAnsi="Times New Roman" w:cs="宋体" w:hint="eastAsia"/>
          <w:spacing w:val="13"/>
          <w:sz w:val="28"/>
          <w:szCs w:val="28"/>
        </w:rPr>
        <w:t>64.29</w:t>
      </w:r>
      <w:r w:rsidRPr="00BF04D5">
        <w:rPr>
          <w:rFonts w:ascii="Times New Roman" w:eastAsia="宋体" w:hAnsi="Times New Roman" w:cs="宋体" w:hint="eastAsia"/>
          <w:spacing w:val="13"/>
          <w:sz w:val="28"/>
          <w:szCs w:val="28"/>
        </w:rPr>
        <w:t>%</w:t>
      </w:r>
      <w:r w:rsidRPr="00BF04D5">
        <w:rPr>
          <w:rFonts w:ascii="Times New Roman" w:eastAsia="宋体" w:hAnsi="Times New Roman" w:cs="宋体" w:hint="eastAsia"/>
          <w:spacing w:val="13"/>
          <w:sz w:val="28"/>
          <w:szCs w:val="28"/>
        </w:rPr>
        <w:t>；其中考取博士研究生</w:t>
      </w:r>
      <w:r w:rsidRPr="00BF04D5">
        <w:rPr>
          <w:rFonts w:ascii="Times New Roman" w:eastAsia="宋体" w:hAnsi="Times New Roman" w:cs="宋体" w:hint="eastAsia"/>
          <w:spacing w:val="13"/>
          <w:sz w:val="28"/>
          <w:szCs w:val="28"/>
        </w:rPr>
        <w:t>3</w:t>
      </w:r>
      <w:r w:rsidRPr="00BF04D5">
        <w:rPr>
          <w:rFonts w:ascii="Times New Roman" w:eastAsia="宋体" w:hAnsi="Times New Roman" w:cs="宋体" w:hint="eastAsia"/>
          <w:spacing w:val="13"/>
          <w:sz w:val="28"/>
          <w:szCs w:val="28"/>
        </w:rPr>
        <w:t>人</w:t>
      </w:r>
      <w:r>
        <w:rPr>
          <w:rFonts w:ascii="Times New Roman" w:eastAsia="宋体" w:hAnsi="Times New Roman" w:cs="宋体" w:hint="eastAsia"/>
          <w:spacing w:val="11"/>
          <w:sz w:val="28"/>
          <w:szCs w:val="28"/>
        </w:rPr>
        <w:t>、</w:t>
      </w:r>
      <w:r>
        <w:rPr>
          <w:rFonts w:ascii="Times New Roman" w:eastAsia="宋体" w:hAnsi="Times New Roman" w:cs="宋体" w:hint="eastAsia"/>
          <w:spacing w:val="11"/>
          <w:sz w:val="28"/>
          <w:szCs w:val="28"/>
        </w:rPr>
        <w:t>1</w:t>
      </w:r>
      <w:r>
        <w:rPr>
          <w:rFonts w:ascii="Times New Roman" w:eastAsia="宋体" w:hAnsi="Times New Roman" w:cs="宋体" w:hint="eastAsia"/>
          <w:spacing w:val="11"/>
          <w:sz w:val="28"/>
          <w:szCs w:val="28"/>
        </w:rPr>
        <w:t>人进入高校、</w:t>
      </w:r>
      <w:r>
        <w:rPr>
          <w:rFonts w:ascii="Times New Roman" w:eastAsia="宋体" w:hAnsi="Times New Roman" w:cs="宋体" w:hint="eastAsia"/>
          <w:spacing w:val="11"/>
          <w:sz w:val="28"/>
          <w:szCs w:val="28"/>
        </w:rPr>
        <w:t>5</w:t>
      </w:r>
      <w:r>
        <w:rPr>
          <w:rFonts w:ascii="Times New Roman" w:eastAsia="宋体" w:hAnsi="Times New Roman" w:cs="宋体" w:hint="eastAsia"/>
          <w:spacing w:val="11"/>
          <w:sz w:val="28"/>
          <w:szCs w:val="28"/>
        </w:rPr>
        <w:t>人进入企事业单位、</w:t>
      </w:r>
      <w:r>
        <w:rPr>
          <w:rFonts w:ascii="Times New Roman" w:eastAsia="宋体" w:hAnsi="Times New Roman" w:cs="宋体" w:hint="eastAsia"/>
          <w:spacing w:val="11"/>
          <w:sz w:val="28"/>
          <w:szCs w:val="28"/>
        </w:rPr>
        <w:t>2</w:t>
      </w:r>
      <w:r>
        <w:rPr>
          <w:rFonts w:ascii="Times New Roman" w:eastAsia="宋体" w:hAnsi="Times New Roman" w:cs="宋体" w:hint="eastAsia"/>
          <w:spacing w:val="11"/>
          <w:sz w:val="28"/>
          <w:szCs w:val="28"/>
        </w:rPr>
        <w:t>人进入民营企业，整体就业质量较高。获省级研究生创新基金立项</w:t>
      </w:r>
      <w:r>
        <w:rPr>
          <w:rFonts w:ascii="Times New Roman" w:eastAsia="宋体" w:hAnsi="Times New Roman" w:cs="宋体" w:hint="eastAsia"/>
          <w:spacing w:val="11"/>
          <w:sz w:val="28"/>
          <w:szCs w:val="28"/>
        </w:rPr>
        <w:t>4</w:t>
      </w:r>
      <w:r>
        <w:rPr>
          <w:rFonts w:ascii="Times New Roman" w:eastAsia="宋体" w:hAnsi="Times New Roman" w:cs="宋体" w:hint="eastAsia"/>
          <w:spacing w:val="11"/>
          <w:sz w:val="28"/>
          <w:szCs w:val="28"/>
        </w:rPr>
        <w:t>项、校级</w:t>
      </w:r>
      <w:r>
        <w:rPr>
          <w:rFonts w:ascii="Times New Roman" w:eastAsia="宋体" w:hAnsi="Times New Roman" w:cs="宋体" w:hint="eastAsia"/>
          <w:spacing w:val="11"/>
          <w:sz w:val="28"/>
          <w:szCs w:val="28"/>
        </w:rPr>
        <w:t>9</w:t>
      </w:r>
      <w:r>
        <w:rPr>
          <w:rFonts w:ascii="Times New Roman" w:eastAsia="宋体" w:hAnsi="Times New Roman" w:cs="宋体" w:hint="eastAsia"/>
          <w:spacing w:val="11"/>
          <w:sz w:val="28"/>
          <w:szCs w:val="28"/>
        </w:rPr>
        <w:t>项。参加各级各类研究生科技竞赛获奖，获各类学科竞赛国家级奖项</w:t>
      </w:r>
      <w:r>
        <w:rPr>
          <w:rFonts w:ascii="Times New Roman" w:eastAsia="宋体" w:hAnsi="Times New Roman" w:cs="宋体" w:hint="eastAsia"/>
          <w:spacing w:val="11"/>
          <w:sz w:val="28"/>
          <w:szCs w:val="28"/>
        </w:rPr>
        <w:t>15</w:t>
      </w:r>
      <w:r>
        <w:rPr>
          <w:rFonts w:ascii="Times New Roman" w:eastAsia="宋体" w:hAnsi="Times New Roman" w:cs="宋体" w:hint="eastAsia"/>
          <w:spacing w:val="11"/>
          <w:sz w:val="28"/>
          <w:szCs w:val="28"/>
        </w:rPr>
        <w:t>项、省级</w:t>
      </w:r>
      <w:r>
        <w:rPr>
          <w:rFonts w:ascii="Times New Roman" w:eastAsia="宋体" w:hAnsi="Times New Roman" w:cs="宋体" w:hint="eastAsia"/>
          <w:spacing w:val="11"/>
          <w:sz w:val="28"/>
          <w:szCs w:val="28"/>
        </w:rPr>
        <w:t>20</w:t>
      </w:r>
      <w:r>
        <w:rPr>
          <w:rFonts w:ascii="Times New Roman" w:eastAsia="宋体" w:hAnsi="Times New Roman" w:cs="宋体" w:hint="eastAsia"/>
          <w:spacing w:val="11"/>
          <w:sz w:val="28"/>
          <w:szCs w:val="28"/>
        </w:rPr>
        <w:t>项、校级</w:t>
      </w:r>
      <w:r>
        <w:rPr>
          <w:rFonts w:ascii="Times New Roman" w:eastAsia="宋体" w:hAnsi="Times New Roman" w:cs="宋体" w:hint="eastAsia"/>
          <w:spacing w:val="11"/>
          <w:sz w:val="28"/>
          <w:szCs w:val="28"/>
        </w:rPr>
        <w:t>10</w:t>
      </w:r>
      <w:r>
        <w:rPr>
          <w:rFonts w:ascii="Times New Roman" w:eastAsia="宋体" w:hAnsi="Times New Roman" w:cs="宋体" w:hint="eastAsia"/>
          <w:spacing w:val="11"/>
          <w:sz w:val="28"/>
          <w:szCs w:val="28"/>
        </w:rPr>
        <w:t>项。学院科研氛围浓烈，先后邀请校外校内院外院内知名专家线上线</w:t>
      </w:r>
      <w:proofErr w:type="gramStart"/>
      <w:r>
        <w:rPr>
          <w:rFonts w:ascii="Times New Roman" w:eastAsia="宋体" w:hAnsi="Times New Roman" w:cs="宋体" w:hint="eastAsia"/>
          <w:spacing w:val="11"/>
          <w:sz w:val="28"/>
          <w:szCs w:val="28"/>
        </w:rPr>
        <w:t>下学术</w:t>
      </w:r>
      <w:proofErr w:type="gramEnd"/>
      <w:r>
        <w:rPr>
          <w:rFonts w:ascii="Times New Roman" w:eastAsia="宋体" w:hAnsi="Times New Roman" w:cs="宋体" w:hint="eastAsia"/>
          <w:spacing w:val="11"/>
          <w:sz w:val="28"/>
          <w:szCs w:val="28"/>
        </w:rPr>
        <w:t>讲座、政策解读合计</w:t>
      </w:r>
      <w:r>
        <w:rPr>
          <w:rFonts w:ascii="Times New Roman" w:eastAsia="宋体" w:hAnsi="Times New Roman" w:cs="宋体" w:hint="eastAsia"/>
          <w:spacing w:val="11"/>
          <w:sz w:val="28"/>
          <w:szCs w:val="28"/>
        </w:rPr>
        <w:t>20</w:t>
      </w:r>
      <w:r>
        <w:rPr>
          <w:rFonts w:ascii="Times New Roman" w:eastAsia="宋体" w:hAnsi="Times New Roman" w:cs="宋体" w:hint="eastAsia"/>
          <w:spacing w:val="11"/>
          <w:sz w:val="28"/>
          <w:szCs w:val="28"/>
        </w:rPr>
        <w:t>余场，讲座效果一致得到好评。</w:t>
      </w:r>
    </w:p>
    <w:p w:rsidR="006C3C80" w:rsidRDefault="00000000">
      <w:pPr>
        <w:spacing w:line="360" w:lineRule="auto"/>
        <w:ind w:firstLine="607"/>
        <w:rPr>
          <w:rFonts w:ascii="宋体" w:eastAsia="宋体" w:hAnsi="宋体" w:cs="宋体" w:hint="eastAsia"/>
          <w:spacing w:val="2"/>
          <w:sz w:val="28"/>
          <w:szCs w:val="28"/>
        </w:rPr>
      </w:pPr>
      <w:r>
        <w:rPr>
          <w:rFonts w:ascii="Times New Roman" w:eastAsia="宋体" w:hAnsi="Times New Roman" w:cs="宋体" w:hint="eastAsia"/>
          <w:spacing w:val="11"/>
          <w:sz w:val="28"/>
          <w:szCs w:val="28"/>
        </w:rPr>
        <w:t>（三）导师队伍情况</w:t>
      </w:r>
    </w:p>
    <w:p w:rsidR="006C3C80" w:rsidRDefault="00000000">
      <w:pPr>
        <w:spacing w:line="360" w:lineRule="auto"/>
        <w:ind w:firstLine="607"/>
        <w:rPr>
          <w:rStyle w:val="NormalCharacter"/>
          <w:rFonts w:ascii="黑体" w:eastAsia="黑体" w:hAnsi="黑体" w:cs="黑体" w:hint="eastAsia"/>
          <w:szCs w:val="32"/>
        </w:rPr>
      </w:pPr>
      <w:r>
        <w:rPr>
          <w:rFonts w:ascii="Times New Roman" w:eastAsia="宋体" w:hAnsi="Times New Roman" w:cs="宋体" w:hint="eastAsia"/>
          <w:spacing w:val="11"/>
          <w:sz w:val="28"/>
          <w:szCs w:val="28"/>
        </w:rPr>
        <w:t>本学科坚持立德树人为根本，面向国家重大战略需求和区域经济</w:t>
      </w:r>
      <w:r>
        <w:rPr>
          <w:rFonts w:ascii="Times New Roman" w:eastAsia="宋体" w:hAnsi="Times New Roman" w:cs="宋体" w:hint="eastAsia"/>
          <w:spacing w:val="11"/>
          <w:sz w:val="28"/>
          <w:szCs w:val="28"/>
        </w:rPr>
        <w:lastRenderedPageBreak/>
        <w:t>发展，注重跨学科交叉融合，创新研究与实践并重。经过多年的学科建设与发展，导师队伍建设成效显著。</w:t>
      </w:r>
      <w:r>
        <w:rPr>
          <w:rFonts w:ascii="宋体" w:eastAsia="宋体" w:hAnsi="宋体" w:cs="宋体" w:hint="eastAsia"/>
          <w:bCs/>
          <w:sz w:val="28"/>
          <w:szCs w:val="28"/>
        </w:rPr>
        <w:t>本学科点师资力量雄厚，有教授14人、博士学位副教授24人，新增井</w:t>
      </w:r>
      <w:proofErr w:type="gramStart"/>
      <w:r>
        <w:rPr>
          <w:rFonts w:ascii="宋体" w:eastAsia="宋体" w:hAnsi="宋体" w:cs="宋体" w:hint="eastAsia"/>
          <w:bCs/>
          <w:sz w:val="28"/>
          <w:szCs w:val="28"/>
        </w:rPr>
        <w:t>冈学者</w:t>
      </w:r>
      <w:proofErr w:type="gramEnd"/>
      <w:r>
        <w:rPr>
          <w:rFonts w:ascii="宋体" w:eastAsia="宋体" w:hAnsi="宋体" w:cs="宋体" w:hint="eastAsia"/>
          <w:bCs/>
          <w:sz w:val="28"/>
          <w:szCs w:val="28"/>
        </w:rPr>
        <w:t>特聘教授1名，双千领军人才1名，双千领军青年人才1名，青年井冈学者推荐人选1名，1人入选</w:t>
      </w:r>
      <w:proofErr w:type="gramStart"/>
      <w:r>
        <w:rPr>
          <w:rFonts w:ascii="宋体" w:eastAsia="宋体" w:hAnsi="宋体" w:cs="宋体" w:hint="eastAsia"/>
          <w:bCs/>
          <w:sz w:val="28"/>
          <w:szCs w:val="28"/>
        </w:rPr>
        <w:t>省金牌</w:t>
      </w:r>
      <w:proofErr w:type="gramEnd"/>
      <w:r>
        <w:rPr>
          <w:rFonts w:ascii="宋体" w:eastAsia="宋体" w:hAnsi="宋体" w:cs="宋体" w:hint="eastAsia"/>
          <w:bCs/>
          <w:sz w:val="28"/>
          <w:szCs w:val="28"/>
        </w:rPr>
        <w:t>教师</w:t>
      </w:r>
      <w:r>
        <w:rPr>
          <w:rFonts w:ascii="Times New Roman" w:eastAsia="宋体" w:hAnsi="Times New Roman" w:cs="宋体" w:hint="eastAsia"/>
          <w:spacing w:val="11"/>
          <w:sz w:val="28"/>
          <w:szCs w:val="28"/>
        </w:rPr>
        <w:t>。</w:t>
      </w:r>
      <w:r>
        <w:rPr>
          <w:rFonts w:ascii="Times New Roman" w:eastAsia="宋体" w:hAnsi="Times New Roman" w:cs="宋体" w:hint="eastAsia"/>
          <w:spacing w:val="11"/>
          <w:sz w:val="28"/>
          <w:szCs w:val="28"/>
        </w:rPr>
        <w:t>2020</w:t>
      </w:r>
      <w:r>
        <w:rPr>
          <w:rFonts w:ascii="Times New Roman" w:eastAsia="宋体" w:hAnsi="Times New Roman" w:cs="宋体" w:hint="eastAsia"/>
          <w:spacing w:val="11"/>
          <w:sz w:val="28"/>
          <w:szCs w:val="28"/>
        </w:rPr>
        <w:t>年本</w:t>
      </w:r>
      <w:proofErr w:type="gramStart"/>
      <w:r>
        <w:rPr>
          <w:rFonts w:ascii="Times New Roman" w:eastAsia="宋体" w:hAnsi="Times New Roman" w:cs="宋体" w:hint="eastAsia"/>
          <w:spacing w:val="11"/>
          <w:sz w:val="28"/>
          <w:szCs w:val="28"/>
        </w:rPr>
        <w:t>学科获批国家</w:t>
      </w:r>
      <w:proofErr w:type="gramEnd"/>
      <w:r>
        <w:rPr>
          <w:rFonts w:ascii="Times New Roman" w:eastAsia="宋体" w:hAnsi="Times New Roman" w:cs="宋体" w:hint="eastAsia"/>
          <w:spacing w:val="11"/>
          <w:sz w:val="28"/>
          <w:szCs w:val="28"/>
        </w:rPr>
        <w:t>基金</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项，省级科研项目</w:t>
      </w:r>
      <w:r>
        <w:rPr>
          <w:rFonts w:ascii="Times New Roman" w:eastAsia="宋体" w:hAnsi="Times New Roman" w:cs="宋体" w:hint="eastAsia"/>
          <w:spacing w:val="11"/>
          <w:sz w:val="28"/>
          <w:szCs w:val="28"/>
        </w:rPr>
        <w:t>17</w:t>
      </w:r>
      <w:r>
        <w:rPr>
          <w:rFonts w:ascii="Times New Roman" w:eastAsia="宋体" w:hAnsi="Times New Roman" w:cs="宋体" w:hint="eastAsia"/>
          <w:spacing w:val="11"/>
          <w:sz w:val="28"/>
          <w:szCs w:val="28"/>
        </w:rPr>
        <w:t>项，纵向科研经费达到</w:t>
      </w:r>
      <w:r>
        <w:rPr>
          <w:rFonts w:ascii="Times New Roman" w:eastAsia="宋体" w:hAnsi="Times New Roman" w:cs="宋体" w:hint="eastAsia"/>
          <w:spacing w:val="11"/>
          <w:sz w:val="28"/>
          <w:szCs w:val="28"/>
        </w:rPr>
        <w:t>167</w:t>
      </w:r>
      <w:r>
        <w:rPr>
          <w:rFonts w:ascii="Times New Roman" w:eastAsia="宋体" w:hAnsi="Times New Roman" w:cs="宋体" w:hint="eastAsia"/>
          <w:spacing w:val="11"/>
          <w:sz w:val="28"/>
          <w:szCs w:val="28"/>
        </w:rPr>
        <w:t>余万元，横向科研经费达到</w:t>
      </w:r>
      <w:r>
        <w:rPr>
          <w:rFonts w:ascii="Times New Roman" w:eastAsia="宋体" w:hAnsi="Times New Roman" w:cs="宋体" w:hint="eastAsia"/>
          <w:spacing w:val="11"/>
          <w:sz w:val="28"/>
          <w:szCs w:val="28"/>
        </w:rPr>
        <w:t>50</w:t>
      </w:r>
      <w:r>
        <w:rPr>
          <w:rFonts w:ascii="Times New Roman" w:eastAsia="宋体" w:hAnsi="Times New Roman" w:cs="宋体" w:hint="eastAsia"/>
          <w:spacing w:val="11"/>
          <w:sz w:val="28"/>
          <w:szCs w:val="28"/>
        </w:rPr>
        <w:t>余万元。</w:t>
      </w:r>
      <w:r>
        <w:rPr>
          <w:rFonts w:ascii="Times New Roman" w:eastAsia="宋体" w:hAnsi="Times New Roman" w:cs="宋体" w:hint="eastAsia"/>
          <w:spacing w:val="11"/>
          <w:sz w:val="28"/>
          <w:szCs w:val="28"/>
        </w:rPr>
        <w:t>2020</w:t>
      </w:r>
      <w:r>
        <w:rPr>
          <w:rFonts w:ascii="Times New Roman" w:eastAsia="宋体" w:hAnsi="Times New Roman" w:cs="宋体" w:hint="eastAsia"/>
          <w:spacing w:val="11"/>
          <w:sz w:val="28"/>
          <w:szCs w:val="28"/>
        </w:rPr>
        <w:t>年共发表论文</w:t>
      </w:r>
      <w:r>
        <w:rPr>
          <w:rFonts w:ascii="Times New Roman" w:eastAsia="宋体" w:hAnsi="Times New Roman" w:cs="宋体" w:hint="eastAsia"/>
          <w:spacing w:val="11"/>
          <w:sz w:val="28"/>
          <w:szCs w:val="28"/>
        </w:rPr>
        <w:t>50</w:t>
      </w:r>
      <w:r>
        <w:rPr>
          <w:rFonts w:ascii="Times New Roman" w:eastAsia="宋体" w:hAnsi="Times New Roman" w:cs="宋体" w:hint="eastAsia"/>
          <w:spacing w:val="11"/>
          <w:sz w:val="28"/>
          <w:szCs w:val="28"/>
        </w:rPr>
        <w:t>余篇，其中：</w:t>
      </w:r>
      <w:r>
        <w:rPr>
          <w:rFonts w:ascii="Times New Roman" w:eastAsia="宋体" w:hAnsi="Times New Roman" w:cs="宋体" w:hint="eastAsia"/>
          <w:spacing w:val="11"/>
          <w:sz w:val="28"/>
          <w:szCs w:val="28"/>
        </w:rPr>
        <w:t>SCI</w:t>
      </w:r>
      <w:r>
        <w:rPr>
          <w:rFonts w:ascii="Times New Roman" w:eastAsia="宋体" w:hAnsi="Times New Roman" w:cs="宋体" w:hint="eastAsia"/>
          <w:spacing w:val="11"/>
          <w:sz w:val="28"/>
          <w:szCs w:val="28"/>
        </w:rPr>
        <w:t>收录</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篇，在</w:t>
      </w:r>
      <w:r>
        <w:rPr>
          <w:rFonts w:ascii="Times New Roman" w:eastAsia="宋体" w:hAnsi="Times New Roman" w:cs="宋体" w:hint="eastAsia"/>
          <w:spacing w:val="11"/>
          <w:sz w:val="28"/>
          <w:szCs w:val="28"/>
        </w:rPr>
        <w:t>CSSCI</w:t>
      </w:r>
      <w:r>
        <w:rPr>
          <w:rFonts w:ascii="Times New Roman" w:eastAsia="宋体" w:hAnsi="Times New Roman" w:cs="宋体" w:hint="eastAsia"/>
          <w:spacing w:val="11"/>
          <w:sz w:val="28"/>
          <w:szCs w:val="28"/>
        </w:rPr>
        <w:t>等高级别期刊发表</w:t>
      </w:r>
      <w:r>
        <w:rPr>
          <w:rFonts w:ascii="Times New Roman" w:eastAsia="宋体" w:hAnsi="Times New Roman" w:cs="宋体" w:hint="eastAsia"/>
          <w:spacing w:val="11"/>
          <w:sz w:val="28"/>
          <w:szCs w:val="28"/>
        </w:rPr>
        <w:t>9</w:t>
      </w:r>
      <w:r>
        <w:rPr>
          <w:rFonts w:ascii="Times New Roman" w:eastAsia="宋体" w:hAnsi="Times New Roman" w:cs="宋体" w:hint="eastAsia"/>
          <w:spacing w:val="11"/>
          <w:sz w:val="28"/>
          <w:szCs w:val="28"/>
        </w:rPr>
        <w:t>篇，</w:t>
      </w:r>
      <w:r>
        <w:rPr>
          <w:rFonts w:ascii="Times New Roman" w:eastAsia="宋体" w:hAnsi="Times New Roman" w:cs="宋体" w:hint="eastAsia"/>
          <w:spacing w:val="11"/>
          <w:sz w:val="28"/>
          <w:szCs w:val="28"/>
        </w:rPr>
        <w:t>2020</w:t>
      </w:r>
      <w:r>
        <w:rPr>
          <w:rFonts w:ascii="Times New Roman" w:eastAsia="宋体" w:hAnsi="Times New Roman" w:cs="宋体" w:hint="eastAsia"/>
          <w:spacing w:val="11"/>
          <w:sz w:val="28"/>
          <w:szCs w:val="28"/>
        </w:rPr>
        <w:t>年共出版专著</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部。</w:t>
      </w:r>
    </w:p>
    <w:p w:rsidR="006C3C80" w:rsidRDefault="00000000">
      <w:pPr>
        <w:spacing w:line="360" w:lineRule="auto"/>
        <w:ind w:firstLineChars="200" w:firstLine="640"/>
        <w:textAlignment w:val="baseline"/>
        <w:rPr>
          <w:rStyle w:val="NormalCharacter"/>
          <w:rFonts w:ascii="黑体" w:eastAsia="黑体" w:hAnsi="黑体" w:cs="黑体" w:hint="eastAsia"/>
          <w:szCs w:val="32"/>
        </w:rPr>
      </w:pPr>
      <w:r>
        <w:rPr>
          <w:rFonts w:ascii="黑体" w:eastAsia="黑体" w:hAnsi="黑体" w:cs="黑体" w:hint="eastAsia"/>
          <w:sz w:val="32"/>
          <w:szCs w:val="32"/>
        </w:rPr>
        <w:t>二、</w:t>
      </w:r>
      <w:r>
        <w:rPr>
          <w:rStyle w:val="NormalCharacter"/>
          <w:rFonts w:ascii="黑体" w:eastAsia="黑体" w:hAnsi="黑体" w:cs="黑体" w:hint="eastAsia"/>
          <w:szCs w:val="32"/>
        </w:rPr>
        <w:t>研究生党建与思想政治教育工作</w:t>
      </w:r>
    </w:p>
    <w:p w:rsidR="006C3C80" w:rsidRDefault="00000000">
      <w:pPr>
        <w:spacing w:line="360" w:lineRule="auto"/>
        <w:ind w:firstLineChars="200" w:firstLine="560"/>
        <w:rPr>
          <w:rStyle w:val="NormalCharacter"/>
          <w:rFonts w:ascii="宋体" w:eastAsia="宋体" w:hAnsi="宋体" w:cs="宋体" w:hint="eastAsia"/>
          <w:sz w:val="28"/>
          <w:szCs w:val="28"/>
        </w:rPr>
      </w:pPr>
      <w:r>
        <w:rPr>
          <w:rFonts w:ascii="宋体" w:eastAsia="宋体" w:hAnsi="宋体" w:cs="宋体" w:hint="eastAsia"/>
          <w:sz w:val="28"/>
          <w:szCs w:val="28"/>
        </w:rPr>
        <w:t>（一）</w:t>
      </w:r>
      <w:r>
        <w:rPr>
          <w:rStyle w:val="NormalCharacter"/>
          <w:rFonts w:ascii="宋体" w:eastAsia="宋体" w:hAnsi="宋体" w:cs="宋体" w:hint="eastAsia"/>
          <w:sz w:val="28"/>
          <w:szCs w:val="28"/>
        </w:rPr>
        <w:t>思想政治教育队伍建设</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学院党委组织机构配置齐全，且能够结合高校党建实际情况，</w:t>
      </w:r>
      <w:r>
        <w:rPr>
          <w:rFonts w:ascii="宋体" w:eastAsia="宋体" w:hAnsi="宋体" w:cs="宋体" w:hint="eastAsia"/>
          <w:sz w:val="28"/>
          <w:szCs w:val="28"/>
        </w:rPr>
        <w:t xml:space="preserve"> </w:t>
      </w:r>
      <w:r>
        <w:rPr>
          <w:rFonts w:ascii="宋体" w:eastAsia="宋体" w:hAnsi="宋体" w:cs="宋体" w:hint="eastAsia"/>
          <w:spacing w:val="7"/>
          <w:sz w:val="28"/>
          <w:szCs w:val="28"/>
        </w:rPr>
        <w:t>创新基层党建组织模式。同时，学院专职党</w:t>
      </w:r>
      <w:r>
        <w:rPr>
          <w:rFonts w:ascii="宋体" w:eastAsia="宋体" w:hAnsi="宋体" w:cs="宋体" w:hint="eastAsia"/>
          <w:spacing w:val="5"/>
          <w:sz w:val="28"/>
          <w:szCs w:val="28"/>
        </w:rPr>
        <w:t>建思想政治教育队伍配备齐全，现有专职的党建人员如下：书记 1 名（专职），副书记 1 名 （专职），4名党委委员。学院坚持“立德树人”根本任务，坚持育人导向和问题导向，不断搭建全方位育人平台、优化协同育人过程、凝聚全员育人合力、把思想政治教育融入学生发展全过程，助</w:t>
      </w:r>
      <w:proofErr w:type="gramStart"/>
      <w:r>
        <w:rPr>
          <w:rFonts w:ascii="宋体" w:eastAsia="宋体" w:hAnsi="宋体" w:cs="宋体" w:hint="eastAsia"/>
          <w:spacing w:val="5"/>
          <w:sz w:val="28"/>
          <w:szCs w:val="28"/>
        </w:rPr>
        <w:t>推学生</w:t>
      </w:r>
      <w:proofErr w:type="gramEnd"/>
      <w:r>
        <w:rPr>
          <w:rFonts w:ascii="宋体" w:eastAsia="宋体" w:hAnsi="宋体" w:cs="宋体" w:hint="eastAsia"/>
          <w:spacing w:val="5"/>
          <w:sz w:val="28"/>
          <w:szCs w:val="28"/>
        </w:rPr>
        <w:t>成长成才。</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学院建设有“温润书吧” 、新时代文明实践站、党员活动室、“双带头人”教师支部书记工作室、党群之家等活动阵地，同时大力建设有宣传栏、文化长廊、官微、网站</w:t>
      </w:r>
      <w:proofErr w:type="gramStart"/>
      <w:r>
        <w:rPr>
          <w:rFonts w:ascii="宋体" w:eastAsia="宋体" w:hAnsi="宋体" w:cs="宋体" w:hint="eastAsia"/>
          <w:spacing w:val="5"/>
          <w:sz w:val="28"/>
          <w:szCs w:val="28"/>
        </w:rPr>
        <w:t>等思政宣传</w:t>
      </w:r>
      <w:proofErr w:type="gramEnd"/>
      <w:r>
        <w:rPr>
          <w:rFonts w:ascii="宋体" w:eastAsia="宋体" w:hAnsi="宋体" w:cs="宋体" w:hint="eastAsia"/>
          <w:spacing w:val="5"/>
          <w:sz w:val="28"/>
          <w:szCs w:val="28"/>
        </w:rPr>
        <w:t>阵地；通过实施“党建双领双同计划” ，学生“四自”骨干培育计划，创新思政工作机制，形成了专业完善的研究生思政工作体系。</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lastRenderedPageBreak/>
        <w:t>（二）理想信念和社会主义核心价值观教育</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紧紧围绕立德树人的根本任务，为党育人、为国育才，始终把党的政治建设摆在首位，通过双带头人支部书记工作室，引领带动研究生支部开展各项学习教育活动，加强理想信念和社会主义核心价值观教育，成效显著。</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一是强化党建引领。充分发挥学院分党校、分团校思想阵地作用。今年共开展党员教育15次、新生入党启蒙教育，培养研究生入党积极分子12名。</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二是强化网络思政。推进研究生学生工作信息化建设，强化学院官微、“经管青年”团委官微、“经管元宝”QQ 账号、</w:t>
      </w:r>
      <w:proofErr w:type="gramStart"/>
      <w:r>
        <w:rPr>
          <w:rFonts w:ascii="宋体" w:eastAsia="宋体" w:hAnsi="宋体" w:cs="宋体" w:hint="eastAsia"/>
          <w:spacing w:val="5"/>
          <w:sz w:val="28"/>
          <w:szCs w:val="28"/>
        </w:rPr>
        <w:t>“时代经管”微博账号</w:t>
      </w:r>
      <w:proofErr w:type="gramEnd"/>
      <w:r>
        <w:rPr>
          <w:rFonts w:ascii="宋体" w:eastAsia="宋体" w:hAnsi="宋体" w:cs="宋体" w:hint="eastAsia"/>
          <w:spacing w:val="5"/>
          <w:sz w:val="28"/>
          <w:szCs w:val="28"/>
        </w:rPr>
        <w:t>等媒体平台建设，重点打造好“榜样力量”“经纬大讲堂”“南航青年说”“我为同学办实事”等特色栏目，创新指尖上</w:t>
      </w:r>
      <w:proofErr w:type="gramStart"/>
      <w:r>
        <w:rPr>
          <w:rFonts w:ascii="宋体" w:eastAsia="宋体" w:hAnsi="宋体" w:cs="宋体" w:hint="eastAsia"/>
          <w:spacing w:val="5"/>
          <w:sz w:val="28"/>
          <w:szCs w:val="28"/>
        </w:rPr>
        <w:t>的思政教育</w:t>
      </w:r>
      <w:proofErr w:type="gramEnd"/>
      <w:r>
        <w:rPr>
          <w:rFonts w:ascii="宋体" w:eastAsia="宋体" w:hAnsi="宋体" w:cs="宋体" w:hint="eastAsia"/>
          <w:spacing w:val="5"/>
          <w:sz w:val="28"/>
          <w:szCs w:val="28"/>
        </w:rPr>
        <w:t>，提升网络育人成效。</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三是强化主题教育。抓实抓细新生入学教育、行为规范教育，将</w:t>
      </w:r>
      <w:proofErr w:type="gramStart"/>
      <w:r>
        <w:rPr>
          <w:rFonts w:ascii="宋体" w:eastAsia="宋体" w:hAnsi="宋体" w:cs="宋体" w:hint="eastAsia"/>
          <w:spacing w:val="5"/>
          <w:sz w:val="28"/>
          <w:szCs w:val="28"/>
        </w:rPr>
        <w:t>思政教育</w:t>
      </w:r>
      <w:proofErr w:type="gramEnd"/>
      <w:r>
        <w:rPr>
          <w:rFonts w:ascii="宋体" w:eastAsia="宋体" w:hAnsi="宋体" w:cs="宋体" w:hint="eastAsia"/>
          <w:spacing w:val="5"/>
          <w:sz w:val="28"/>
          <w:szCs w:val="28"/>
        </w:rPr>
        <w:t>融入并贯穿学生大学生涯全过程。持续开展“院长约吧、教授约吧等活动，面对面交流，切实在解决实际问题中提升思政工作实效。</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四是强化航空国防教育。开展“爱我国防”主题班会、“航空人故事”讲述会等系列航空国防教育活动，培养学生航空报国精神。</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（三）校园文化建设</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学院从人才培养目标出发，着力学生创新意识与综合实践能力的培养，引导学生将知识转化为技能和解决实际问题的能力，增强了学生创新创业能力与就业核心竞争力。提升第二课堂活动品质，结合专业特色，</w:t>
      </w:r>
      <w:r>
        <w:rPr>
          <w:rFonts w:ascii="宋体" w:eastAsia="宋体" w:hAnsi="宋体" w:cs="宋体" w:hint="eastAsia"/>
          <w:spacing w:val="5"/>
          <w:sz w:val="28"/>
          <w:szCs w:val="28"/>
        </w:rPr>
        <w:lastRenderedPageBreak/>
        <w:t>重点打造“科技文化节”；积极组织社会实践活动，涵养学生家国情，全年组织开展志愿者服务活动91场。二是构建“专业-学科比赛-研究中心-学科”的知识链育人机制，以学科专业为载体，实现每个专业对接一个行业或省级赛事，通过研究中心的科学研究与应用研究带动学生创新实践，进一步支撑硕士点的优势建设并实现专业育人、学科育人的全方位育人。</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（四）日常管理服务工作</w:t>
      </w:r>
    </w:p>
    <w:p w:rsidR="006C3C80" w:rsidRDefault="00000000">
      <w:pPr>
        <w:spacing w:line="560" w:lineRule="exact"/>
        <w:ind w:firstLineChars="200" w:firstLine="580"/>
        <w:outlineLvl w:val="0"/>
        <w:rPr>
          <w:rFonts w:ascii="宋体" w:eastAsia="宋体" w:hAnsi="宋体" w:cs="宋体" w:hint="eastAsia"/>
          <w:spacing w:val="5"/>
          <w:sz w:val="28"/>
          <w:szCs w:val="28"/>
        </w:rPr>
      </w:pPr>
      <w:r>
        <w:rPr>
          <w:rFonts w:ascii="宋体" w:eastAsia="宋体" w:hAnsi="宋体" w:cs="宋体" w:hint="eastAsia"/>
          <w:spacing w:val="5"/>
          <w:sz w:val="28"/>
          <w:szCs w:val="28"/>
        </w:rPr>
        <w:t>学院形成了完善的研究生日常管理工作体系。学院配有一名副院长专管研究生工作，一名专职辅导员负责日常思想政治教育，每个年级配备一名教师担</w:t>
      </w:r>
      <w:r w:rsidRPr="00AF68D8">
        <w:rPr>
          <w:rFonts w:ascii="宋体" w:eastAsia="宋体" w:hAnsi="宋体" w:cs="宋体" w:hint="eastAsia"/>
          <w:spacing w:val="5"/>
          <w:sz w:val="28"/>
          <w:szCs w:val="28"/>
        </w:rPr>
        <w:t>任学生党支部书记，一名教师担任班主任。同时依托双带头人支部书记工作室，带动引领研究生开展党建</w:t>
      </w:r>
      <w:proofErr w:type="gramStart"/>
      <w:r w:rsidRPr="00AF68D8">
        <w:rPr>
          <w:rFonts w:ascii="宋体" w:eastAsia="宋体" w:hAnsi="宋体" w:cs="宋体" w:hint="eastAsia"/>
          <w:spacing w:val="5"/>
          <w:sz w:val="28"/>
          <w:szCs w:val="28"/>
        </w:rPr>
        <w:t>和思政教育</w:t>
      </w:r>
      <w:proofErr w:type="gramEnd"/>
      <w:r w:rsidRPr="00AF68D8">
        <w:rPr>
          <w:rFonts w:ascii="宋体" w:eastAsia="宋体" w:hAnsi="宋体" w:cs="宋体" w:hint="eastAsia"/>
          <w:spacing w:val="5"/>
          <w:sz w:val="28"/>
          <w:szCs w:val="28"/>
        </w:rPr>
        <w:t>；充分发挥研究生支部、班委和研究生党员“卓越领航工程”作用，将四</w:t>
      </w:r>
      <w:proofErr w:type="gramStart"/>
      <w:r w:rsidRPr="00AF68D8">
        <w:rPr>
          <w:rFonts w:ascii="宋体" w:eastAsia="宋体" w:hAnsi="宋体" w:cs="宋体" w:hint="eastAsia"/>
          <w:spacing w:val="5"/>
          <w:sz w:val="28"/>
          <w:szCs w:val="28"/>
        </w:rPr>
        <w:t>自教育</w:t>
      </w:r>
      <w:proofErr w:type="gramEnd"/>
      <w:r w:rsidRPr="00AF68D8">
        <w:rPr>
          <w:rFonts w:ascii="宋体" w:eastAsia="宋体" w:hAnsi="宋体" w:cs="宋体" w:hint="eastAsia"/>
          <w:spacing w:val="5"/>
          <w:sz w:val="28"/>
          <w:szCs w:val="28"/>
        </w:rPr>
        <w:t>的实质内涵渗透到日常工作中，在各方面取得了较为显著</w:t>
      </w:r>
      <w:r>
        <w:rPr>
          <w:rFonts w:ascii="宋体" w:eastAsia="宋体" w:hAnsi="宋体" w:cs="宋体" w:hint="eastAsia"/>
          <w:spacing w:val="5"/>
          <w:sz w:val="28"/>
          <w:szCs w:val="28"/>
        </w:rPr>
        <w:t>的成效，充分发挥了高校立德树人的积极作用。</w:t>
      </w:r>
    </w:p>
    <w:p w:rsidR="006C3C80" w:rsidRDefault="00000000">
      <w:pPr>
        <w:spacing w:line="360" w:lineRule="auto"/>
        <w:ind w:firstLineChars="200" w:firstLine="640"/>
        <w:textAlignment w:val="baseline"/>
        <w:rPr>
          <w:rFonts w:ascii="仿宋_GB2312" w:eastAsia="仿宋_GB2312" w:hAnsi="方正仿宋简体" w:cs="方正仿宋简体" w:hint="eastAsia"/>
          <w:sz w:val="32"/>
          <w:szCs w:val="32"/>
        </w:rPr>
      </w:pPr>
      <w:r>
        <w:rPr>
          <w:rStyle w:val="NormalCharacter"/>
          <w:rFonts w:ascii="黑体" w:eastAsia="黑体" w:hAnsi="黑体" w:cs="黑体" w:hint="eastAsia"/>
          <w:szCs w:val="32"/>
        </w:rPr>
        <w:t>三、研究生培养相关制度及执行情况</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（一）课程建设与实施情况</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2020年上半年，学位点研究生开设课程 21门次，下半年，开设研究生课程8门次。学位点坚持立德树人，在教学过程中，</w:t>
      </w:r>
      <w:proofErr w:type="gramStart"/>
      <w:r>
        <w:rPr>
          <w:rFonts w:ascii="宋体" w:eastAsia="宋体" w:hAnsi="宋体" w:cs="宋体" w:hint="eastAsia"/>
          <w:spacing w:val="-3"/>
          <w:sz w:val="28"/>
          <w:szCs w:val="28"/>
        </w:rPr>
        <w:t>将思政元素</w:t>
      </w:r>
      <w:proofErr w:type="gramEnd"/>
      <w:r>
        <w:rPr>
          <w:rFonts w:ascii="宋体" w:eastAsia="宋体" w:hAnsi="宋体" w:cs="宋体" w:hint="eastAsia"/>
          <w:spacing w:val="-3"/>
          <w:sz w:val="28"/>
          <w:szCs w:val="28"/>
        </w:rPr>
        <w:t>贯穿课堂和实践教学，采用“学生评价教学、同行互评教学、督导评估教学”的方式，并重强调“监督检查”与“专业指导”的作用。在教材选用中，</w:t>
      </w:r>
      <w:r>
        <w:rPr>
          <w:rFonts w:ascii="宋体" w:eastAsia="宋体" w:hAnsi="宋体" w:cs="宋体" w:hint="eastAsia"/>
          <w:spacing w:val="11"/>
          <w:sz w:val="28"/>
          <w:szCs w:val="28"/>
        </w:rPr>
        <w:t>把好教材审核关。积极组织任课教师申报江</w:t>
      </w:r>
      <w:r>
        <w:rPr>
          <w:rFonts w:ascii="宋体" w:eastAsia="宋体" w:hAnsi="宋体" w:cs="宋体" w:hint="eastAsia"/>
          <w:spacing w:val="-3"/>
          <w:sz w:val="28"/>
          <w:szCs w:val="28"/>
        </w:rPr>
        <w:t>西省研究生“课程思政示范项目”，取得了一定的成效。组建课程教学团队，主要课程均由2人以上的教师团队教学，</w:t>
      </w:r>
      <w:r>
        <w:rPr>
          <w:rFonts w:ascii="宋体" w:eastAsia="宋体" w:hAnsi="宋体" w:cs="宋体" w:hint="eastAsia"/>
          <w:spacing w:val="-3"/>
          <w:sz w:val="28"/>
          <w:szCs w:val="28"/>
        </w:rPr>
        <w:lastRenderedPageBreak/>
        <w:t>提升教学质量。</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（二）导师选拔培训</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依据学校文件，学科点每年开展一次新增硕士研究生指导教师资格遴选工作，并出台导师动态上岗招生文件和</w:t>
      </w:r>
      <w:proofErr w:type="gramStart"/>
      <w:r>
        <w:rPr>
          <w:rFonts w:ascii="宋体" w:eastAsia="宋体" w:hAnsi="宋体" w:cs="宋体" w:hint="eastAsia"/>
          <w:spacing w:val="-3"/>
          <w:sz w:val="28"/>
          <w:szCs w:val="28"/>
        </w:rPr>
        <w:t>师生双</w:t>
      </w:r>
      <w:proofErr w:type="gramEnd"/>
      <w:r>
        <w:rPr>
          <w:rFonts w:ascii="宋体" w:eastAsia="宋体" w:hAnsi="宋体" w:cs="宋体" w:hint="eastAsia"/>
          <w:spacing w:val="-3"/>
          <w:sz w:val="28"/>
          <w:szCs w:val="28"/>
        </w:rPr>
        <w:t>选办法。在导师选聘过程中，严把政治思想关，将思想过硬、政治素质强，学术水平高、实践能力强的教师聘用为导师。</w:t>
      </w:r>
      <w:bookmarkStart w:id="0" w:name="bookmark41"/>
      <w:bookmarkEnd w:id="0"/>
      <w:r>
        <w:rPr>
          <w:rFonts w:ascii="宋体" w:eastAsia="宋体" w:hAnsi="宋体" w:cs="宋体" w:hint="eastAsia"/>
          <w:spacing w:val="-3"/>
          <w:sz w:val="28"/>
          <w:szCs w:val="28"/>
        </w:rPr>
        <w:t>学位点通过请进来、走出去等多种方式开展导师的教学、科研能力培训</w:t>
      </w:r>
      <w:r w:rsidRPr="00B762B0">
        <w:rPr>
          <w:rFonts w:ascii="宋体" w:eastAsia="宋体" w:hAnsi="宋体" w:cs="宋体" w:hint="eastAsia"/>
          <w:spacing w:val="-3"/>
          <w:sz w:val="28"/>
          <w:szCs w:val="28"/>
        </w:rPr>
        <w:t>，202</w:t>
      </w:r>
      <w:r w:rsidR="00545E99" w:rsidRPr="00B762B0">
        <w:rPr>
          <w:rFonts w:ascii="宋体" w:eastAsia="宋体" w:hAnsi="宋体" w:cs="宋体" w:hint="eastAsia"/>
          <w:spacing w:val="-3"/>
          <w:sz w:val="28"/>
          <w:szCs w:val="28"/>
        </w:rPr>
        <w:t>0</w:t>
      </w:r>
      <w:r w:rsidRPr="00B762B0">
        <w:rPr>
          <w:rFonts w:ascii="宋体" w:eastAsia="宋体" w:hAnsi="宋体" w:cs="宋体" w:hint="eastAsia"/>
          <w:spacing w:val="-3"/>
          <w:sz w:val="28"/>
          <w:szCs w:val="28"/>
        </w:rPr>
        <w:t>年参</w:t>
      </w:r>
      <w:r>
        <w:rPr>
          <w:rFonts w:ascii="宋体" w:eastAsia="宋体" w:hAnsi="宋体" w:cs="宋体" w:hint="eastAsia"/>
          <w:spacing w:val="-3"/>
          <w:sz w:val="28"/>
          <w:szCs w:val="28"/>
        </w:rPr>
        <w:t>加各类教学研讨、学术交流和课程培训达30人次。对导师进行教学评价，实行自我评价、学生评价、教学督导相结合的教学评价制度。依据省级和学校文件，学科点每3年开展导师能力评价工作，严格按照评价指标体系审核，审核不合格的导师取消下一年度招生资格。</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（三）师德师风建设</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成立了由院长、书记担任组长，分管副院长担任副组长，各系主任、党支部书记为成员的师德师风建设领导小组。领导小组负责制定师德师风建设规划、组织落实各项工作。本学位点以立德树人为核心， 着力师德师风建设。根据《南昌航空大学师德师风建设实施细则》《南昌航空大学教师职业道德规范》《南昌航空大学教师行为准则》《南昌航空大学关于全面深化新时代人才队伍建设改革的实施意见》精神，制定了《经济管理学院加强师德师风建设的实施细则》等系列文件， 实施师德师风负面处理机制，规范教师履职履责行为，在导师队伍选聘、评优评先等方面，将师德表现作为首要条件，对师德师风问题实行一票否决。</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强化考核监督，严格把关师德师风，通过公开投诉电话和设立投诉信箱，接受对教师师德师风的投诉，加强对教师的言行监管。本学位点通过开展教育教学思想大讨论、教师岗前培训、入职宣誓仪式、签订师德承诺书等多种形式，推动教师以学习养正气、行动立师德。</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开展主题教育活动，通过组织教师集中学习《中华人民共和国教师法》《新时代高校教师职业行为十项准则》等文件，强化教师的思想政治教育和师德师</w:t>
      </w:r>
      <w:proofErr w:type="gramStart"/>
      <w:r>
        <w:rPr>
          <w:rFonts w:ascii="宋体" w:eastAsia="宋体" w:hAnsi="宋体" w:cs="宋体" w:hint="eastAsia"/>
          <w:spacing w:val="-3"/>
          <w:sz w:val="28"/>
          <w:szCs w:val="28"/>
        </w:rPr>
        <w:t>风学习</w:t>
      </w:r>
      <w:proofErr w:type="gramEnd"/>
      <w:r>
        <w:rPr>
          <w:rFonts w:ascii="宋体" w:eastAsia="宋体" w:hAnsi="宋体" w:cs="宋体" w:hint="eastAsia"/>
          <w:spacing w:val="-3"/>
          <w:sz w:val="28"/>
          <w:szCs w:val="28"/>
        </w:rPr>
        <w:t>教育。通过观看全国优秀教师代表的宣讲视频，激励教师学习榜样，引导广大教师自觉地养师德、树师表、</w:t>
      </w:r>
      <w:proofErr w:type="gramStart"/>
      <w:r>
        <w:rPr>
          <w:rFonts w:ascii="宋体" w:eastAsia="宋体" w:hAnsi="宋体" w:cs="宋体" w:hint="eastAsia"/>
          <w:spacing w:val="-3"/>
          <w:sz w:val="28"/>
          <w:szCs w:val="28"/>
        </w:rPr>
        <w:t>练师能</w:t>
      </w:r>
      <w:proofErr w:type="gramEnd"/>
      <w:r>
        <w:rPr>
          <w:rFonts w:ascii="宋体" w:eastAsia="宋体" w:hAnsi="宋体" w:cs="宋体" w:hint="eastAsia"/>
          <w:spacing w:val="-3"/>
          <w:sz w:val="28"/>
          <w:szCs w:val="28"/>
        </w:rPr>
        <w:t>、铸师魂。定期召开师德师风警示教育大会，通报违反师德师风的典型 案例，引导教师引以为戒，强化纪律意识。</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（四）学术训练与学术交流</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根据学校文件规定定期组织研究生参加南昌航空大学研究生学术论坛，要求硕士生在学制内必须至少参加10次学术活动。听取和做学术报告后须撰写不少于1篇学术总结报告，由导师给出考查结论并记录成绩，该成绩在申请答辩前须提交答辩委员会。每年举办研究生学术讲座、经纬大讲堂等学术活动，取得了良好的效果。鼓励和支持研究生参加正大杯全国大学生市场调查与分析大赛（研究生）、中国研究生企业管理创新大赛、江西省研究生数学建模大赛等学科竞赛。积极组织研究生申请研究生创新专项项目、省级青马工程项目。2020年共投入25余万元支持研究生学术活动。</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（五）研究生奖助</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为提高研究生培养质量，促进研究生的科研积极性，通过奖助学金制度激励措施吸引了大批国内优秀学生，并已建立了完善的研究生奖助学金体系，有国家奖学金、国家助学金、江西省政府研究生奖学金、研究生学业奖学金、优秀学生奖学金、，在国家级、省级、校级层面都有对应的资助，覆盖全面，资助总额 300多万，学生受益面广。</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设置“三助</w:t>
      </w:r>
      <w:proofErr w:type="gramStart"/>
      <w:r>
        <w:rPr>
          <w:rFonts w:ascii="宋体" w:eastAsia="宋体" w:hAnsi="宋体" w:cs="宋体" w:hint="eastAsia"/>
          <w:spacing w:val="-3"/>
          <w:sz w:val="28"/>
          <w:szCs w:val="28"/>
        </w:rPr>
        <w:t>一</w:t>
      </w:r>
      <w:proofErr w:type="gramEnd"/>
      <w:r>
        <w:rPr>
          <w:rFonts w:ascii="宋体" w:eastAsia="宋体" w:hAnsi="宋体" w:cs="宋体" w:hint="eastAsia"/>
          <w:spacing w:val="-3"/>
          <w:sz w:val="28"/>
          <w:szCs w:val="28"/>
        </w:rPr>
        <w:t>辅”（助管、助教、助研、兼职辅导员）岗位，为学生提供工作补贴，保证研究生在校期间的学习和生活，4000-8000元/年/生，名额根据申请人数动态调整</w:t>
      </w:r>
    </w:p>
    <w:p w:rsidR="006C3C80" w:rsidRDefault="00000000">
      <w:pPr>
        <w:numPr>
          <w:ilvl w:val="0"/>
          <w:numId w:val="1"/>
        </w:numPr>
        <w:spacing w:line="360" w:lineRule="auto"/>
        <w:ind w:firstLineChars="200" w:firstLine="640"/>
        <w:textAlignment w:val="baseline"/>
        <w:rPr>
          <w:rStyle w:val="NormalCharacter"/>
          <w:rFonts w:ascii="黑体" w:eastAsia="黑体" w:hAnsi="黑体" w:cs="黑体" w:hint="eastAsia"/>
          <w:szCs w:val="32"/>
        </w:rPr>
      </w:pPr>
      <w:r>
        <w:rPr>
          <w:rStyle w:val="NormalCharacter"/>
          <w:rFonts w:ascii="黑体" w:eastAsia="黑体" w:hAnsi="黑体" w:cs="黑体" w:hint="eastAsia"/>
          <w:szCs w:val="32"/>
        </w:rPr>
        <w:t>研究生教育改革情况</w:t>
      </w:r>
    </w:p>
    <w:p w:rsidR="006C3C80" w:rsidRPr="00CC526A"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（一）人才培养</w:t>
      </w:r>
    </w:p>
    <w:p w:rsidR="006C3C80" w:rsidRDefault="00000000">
      <w:pPr>
        <w:spacing w:line="360" w:lineRule="auto"/>
        <w:ind w:firstLine="607"/>
        <w:rPr>
          <w:rFonts w:ascii="宋体" w:eastAsia="宋体" w:hAnsi="宋体" w:cs="宋体" w:hint="eastAsia"/>
          <w:spacing w:val="-3"/>
          <w:sz w:val="28"/>
          <w:szCs w:val="28"/>
        </w:rPr>
      </w:pPr>
      <w:bookmarkStart w:id="1" w:name="bookmark36"/>
      <w:bookmarkStart w:id="2" w:name="bookmark35"/>
      <w:bookmarkEnd w:id="1"/>
      <w:bookmarkEnd w:id="2"/>
      <w:r w:rsidRPr="00CC526A">
        <w:rPr>
          <w:rFonts w:ascii="宋体" w:eastAsia="宋体" w:hAnsi="宋体" w:cs="宋体" w:hint="eastAsia"/>
          <w:spacing w:val="-3"/>
          <w:sz w:val="28"/>
          <w:szCs w:val="28"/>
        </w:rPr>
        <w:t>严把论文选题和开题工作，从源头把控研究生论文质量。2020年学院</w:t>
      </w:r>
      <w:r w:rsidR="00874D77" w:rsidRPr="00CC526A">
        <w:rPr>
          <w:rFonts w:ascii="宋体" w:eastAsia="宋体" w:hAnsi="宋体" w:cs="宋体" w:hint="eastAsia"/>
          <w:spacing w:val="-3"/>
          <w:sz w:val="28"/>
          <w:szCs w:val="28"/>
        </w:rPr>
        <w:t>29</w:t>
      </w:r>
      <w:r w:rsidRPr="00CC526A">
        <w:rPr>
          <w:rFonts w:ascii="宋体" w:eastAsia="宋体" w:hAnsi="宋体" w:cs="宋体" w:hint="eastAsia"/>
          <w:spacing w:val="-3"/>
          <w:sz w:val="28"/>
          <w:szCs w:val="28"/>
        </w:rPr>
        <w:t>通过盲审，</w:t>
      </w:r>
      <w:r w:rsidR="00874D77" w:rsidRPr="00CC526A">
        <w:rPr>
          <w:rFonts w:ascii="宋体" w:eastAsia="宋体" w:hAnsi="宋体" w:cs="宋体" w:hint="eastAsia"/>
          <w:spacing w:val="-3"/>
          <w:sz w:val="28"/>
          <w:szCs w:val="28"/>
        </w:rPr>
        <w:t>29</w:t>
      </w:r>
      <w:r w:rsidRPr="00CC526A">
        <w:rPr>
          <w:rFonts w:ascii="宋体" w:eastAsia="宋体" w:hAnsi="宋体" w:cs="宋体" w:hint="eastAsia"/>
          <w:spacing w:val="-3"/>
          <w:sz w:val="28"/>
          <w:szCs w:val="28"/>
        </w:rPr>
        <w:t>人顺利毕业。</w:t>
      </w:r>
      <w:r w:rsidRPr="00CC526A">
        <w:rPr>
          <w:rFonts w:ascii="Times New Roman" w:eastAsia="宋体" w:hAnsi="Times New Roman" w:cs="宋体" w:hint="eastAsia"/>
          <w:spacing w:val="11"/>
          <w:sz w:val="28"/>
          <w:szCs w:val="28"/>
        </w:rPr>
        <w:t>获省级研究生创新基金立项</w:t>
      </w:r>
      <w:r w:rsidRPr="00CC526A">
        <w:rPr>
          <w:rFonts w:ascii="Times New Roman" w:eastAsia="宋体" w:hAnsi="Times New Roman" w:cs="宋体" w:hint="eastAsia"/>
          <w:spacing w:val="11"/>
          <w:sz w:val="28"/>
          <w:szCs w:val="28"/>
        </w:rPr>
        <w:t>4</w:t>
      </w:r>
      <w:r w:rsidRPr="00CC526A">
        <w:rPr>
          <w:rFonts w:ascii="Times New Roman" w:eastAsia="宋体" w:hAnsi="Times New Roman" w:cs="宋体" w:hint="eastAsia"/>
          <w:spacing w:val="11"/>
          <w:sz w:val="28"/>
          <w:szCs w:val="28"/>
        </w:rPr>
        <w:t>项、校级</w:t>
      </w:r>
      <w:r w:rsidRPr="00CC526A">
        <w:rPr>
          <w:rFonts w:ascii="Times New Roman" w:eastAsia="宋体" w:hAnsi="Times New Roman" w:cs="宋体" w:hint="eastAsia"/>
          <w:spacing w:val="11"/>
          <w:sz w:val="28"/>
          <w:szCs w:val="28"/>
        </w:rPr>
        <w:t>9</w:t>
      </w:r>
      <w:r w:rsidRPr="00CC526A">
        <w:rPr>
          <w:rFonts w:ascii="Times New Roman" w:eastAsia="宋体" w:hAnsi="Times New Roman" w:cs="宋体" w:hint="eastAsia"/>
          <w:spacing w:val="11"/>
          <w:sz w:val="28"/>
          <w:szCs w:val="28"/>
        </w:rPr>
        <w:t>项。参加各级各类研究生科技竞赛获奖，获各类学科竞赛国家级奖项</w:t>
      </w:r>
      <w:r w:rsidRPr="00CC526A">
        <w:rPr>
          <w:rFonts w:ascii="Times New Roman" w:eastAsia="宋体" w:hAnsi="Times New Roman" w:cs="宋体" w:hint="eastAsia"/>
          <w:spacing w:val="11"/>
          <w:sz w:val="28"/>
          <w:szCs w:val="28"/>
        </w:rPr>
        <w:t>10</w:t>
      </w:r>
      <w:r w:rsidRPr="00CC526A">
        <w:rPr>
          <w:rFonts w:ascii="Times New Roman" w:eastAsia="宋体" w:hAnsi="Times New Roman" w:cs="宋体" w:hint="eastAsia"/>
          <w:spacing w:val="11"/>
          <w:sz w:val="28"/>
          <w:szCs w:val="28"/>
        </w:rPr>
        <w:t>项、省级</w:t>
      </w:r>
      <w:r w:rsidRPr="00CC526A">
        <w:rPr>
          <w:rFonts w:ascii="Times New Roman" w:eastAsia="宋体" w:hAnsi="Times New Roman" w:cs="宋体" w:hint="eastAsia"/>
          <w:spacing w:val="11"/>
          <w:sz w:val="28"/>
          <w:szCs w:val="28"/>
        </w:rPr>
        <w:t>15</w:t>
      </w:r>
      <w:r w:rsidRPr="00CC526A">
        <w:rPr>
          <w:rFonts w:ascii="Times New Roman" w:eastAsia="宋体" w:hAnsi="Times New Roman" w:cs="宋体" w:hint="eastAsia"/>
          <w:spacing w:val="11"/>
          <w:sz w:val="28"/>
          <w:szCs w:val="28"/>
        </w:rPr>
        <w:t>项、校级</w:t>
      </w:r>
      <w:r w:rsidRPr="00CC526A">
        <w:rPr>
          <w:rFonts w:ascii="Times New Roman" w:eastAsia="宋体" w:hAnsi="Times New Roman" w:cs="宋体" w:hint="eastAsia"/>
          <w:spacing w:val="11"/>
          <w:sz w:val="28"/>
          <w:szCs w:val="28"/>
        </w:rPr>
        <w:t>20</w:t>
      </w:r>
      <w:r w:rsidRPr="00CC526A">
        <w:rPr>
          <w:rFonts w:ascii="Times New Roman" w:eastAsia="宋体" w:hAnsi="Times New Roman" w:cs="宋体" w:hint="eastAsia"/>
          <w:spacing w:val="11"/>
          <w:sz w:val="28"/>
          <w:szCs w:val="28"/>
        </w:rPr>
        <w:t>项。学院科研氛围浓烈，先后邀请校外校内院</w:t>
      </w:r>
      <w:r>
        <w:rPr>
          <w:rFonts w:ascii="Times New Roman" w:eastAsia="宋体" w:hAnsi="Times New Roman" w:cs="宋体" w:hint="eastAsia"/>
          <w:spacing w:val="11"/>
          <w:sz w:val="28"/>
          <w:szCs w:val="28"/>
        </w:rPr>
        <w:t>外院内知名专家线上线</w:t>
      </w:r>
      <w:proofErr w:type="gramStart"/>
      <w:r>
        <w:rPr>
          <w:rFonts w:ascii="Times New Roman" w:eastAsia="宋体" w:hAnsi="Times New Roman" w:cs="宋体" w:hint="eastAsia"/>
          <w:spacing w:val="11"/>
          <w:sz w:val="28"/>
          <w:szCs w:val="28"/>
        </w:rPr>
        <w:t>下学术</w:t>
      </w:r>
      <w:proofErr w:type="gramEnd"/>
      <w:r>
        <w:rPr>
          <w:rFonts w:ascii="Times New Roman" w:eastAsia="宋体" w:hAnsi="Times New Roman" w:cs="宋体" w:hint="eastAsia"/>
          <w:spacing w:val="11"/>
          <w:sz w:val="28"/>
          <w:szCs w:val="28"/>
        </w:rPr>
        <w:t>讲座、政策解读合计</w:t>
      </w:r>
      <w:r>
        <w:rPr>
          <w:rFonts w:ascii="Times New Roman" w:eastAsia="宋体" w:hAnsi="Times New Roman" w:cs="宋体" w:hint="eastAsia"/>
          <w:spacing w:val="11"/>
          <w:sz w:val="28"/>
          <w:szCs w:val="28"/>
        </w:rPr>
        <w:t>20</w:t>
      </w:r>
      <w:r>
        <w:rPr>
          <w:rFonts w:ascii="Times New Roman" w:eastAsia="宋体" w:hAnsi="Times New Roman" w:cs="宋体" w:hint="eastAsia"/>
          <w:spacing w:val="11"/>
          <w:sz w:val="28"/>
          <w:szCs w:val="28"/>
        </w:rPr>
        <w:t>余场，讲座效果一致得到好评。</w:t>
      </w:r>
      <w:r>
        <w:rPr>
          <w:rFonts w:ascii="宋体" w:eastAsia="宋体" w:hAnsi="宋体" w:cs="宋体" w:hint="eastAsia"/>
          <w:spacing w:val="-3"/>
          <w:sz w:val="28"/>
          <w:szCs w:val="28"/>
        </w:rPr>
        <w:t>本学位点的教学及实验场所面积达2000平米；拥有管理思想、系统工程、航空产业等原版外文和中文图书期刊7000多册；计算机300余台，安装了ArcGIS、MATLAB、Python等学习软件，仪器设备总值达600余万元。教学设施和软件计算平台先进、数量充足，能充分满足教学、课程实验、模拟仿真等需求。各个实验室均接入学校信息中心，可进行大规模的计量模</w:t>
      </w:r>
      <w:r>
        <w:rPr>
          <w:rFonts w:ascii="宋体" w:eastAsia="宋体" w:hAnsi="宋体" w:cs="宋体" w:hint="eastAsia"/>
          <w:spacing w:val="-3"/>
          <w:sz w:val="28"/>
          <w:szCs w:val="28"/>
        </w:rPr>
        <w:lastRenderedPageBreak/>
        <w:t>拟和资料查询。学位</w:t>
      </w:r>
      <w:proofErr w:type="gramStart"/>
      <w:r>
        <w:rPr>
          <w:rFonts w:ascii="宋体" w:eastAsia="宋体" w:hAnsi="宋体" w:cs="宋体" w:hint="eastAsia"/>
          <w:spacing w:val="-3"/>
          <w:sz w:val="28"/>
          <w:szCs w:val="28"/>
        </w:rPr>
        <w:t>点先后</w:t>
      </w:r>
      <w:proofErr w:type="gramEnd"/>
      <w:r>
        <w:rPr>
          <w:rFonts w:ascii="宋体" w:eastAsia="宋体" w:hAnsi="宋体" w:cs="宋体" w:hint="eastAsia"/>
          <w:spacing w:val="-3"/>
          <w:sz w:val="28"/>
          <w:szCs w:val="28"/>
        </w:rPr>
        <w:t>与江铃汽车股份有限公司、深圳前海知行科技有限公司等单位共建了10个研究生实践基地，为合作对象提供了长期科技咨询服务，一批成果得到应用。</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（二）教师队伍建设</w:t>
      </w:r>
    </w:p>
    <w:p w:rsidR="006C3C80" w:rsidRDefault="00000000">
      <w:pPr>
        <w:spacing w:line="360" w:lineRule="auto"/>
        <w:ind w:firstLineChars="200" w:firstLine="548"/>
        <w:rPr>
          <w:rFonts w:ascii="宋体" w:eastAsia="宋体" w:hAnsi="宋体" w:cs="宋体" w:hint="eastAsia"/>
          <w:spacing w:val="-3"/>
          <w:sz w:val="28"/>
          <w:szCs w:val="28"/>
        </w:rPr>
      </w:pPr>
      <w:bookmarkStart w:id="3" w:name="bookmark37"/>
      <w:bookmarkStart w:id="4" w:name="bookmark38"/>
      <w:bookmarkEnd w:id="3"/>
      <w:bookmarkEnd w:id="4"/>
      <w:r>
        <w:rPr>
          <w:rFonts w:ascii="宋体" w:eastAsia="宋体" w:hAnsi="宋体" w:cs="宋体" w:hint="eastAsia"/>
          <w:spacing w:val="-3"/>
          <w:sz w:val="28"/>
          <w:szCs w:val="28"/>
        </w:rPr>
        <w:t>制定了《经济管理学院关于教师服务经济社会发展能力提升计划》《南昌航空大学经济管理学院新进教师培育方案》、《经济管理学院关于教师服务经济社会发展能力提升计划》、《研究生学位论文撰写过程管理办法（试行）》、《经济管理学院“三全育人”人才培育能力提升计划》等文件20余项；利用多种会议形式，开展了专业建设的10次研讨会；通过走出去的方式开展了省内其他高校的调研学习工作。</w:t>
      </w:r>
      <w:proofErr w:type="gramStart"/>
      <w:r>
        <w:rPr>
          <w:rFonts w:ascii="宋体" w:eastAsia="宋体" w:hAnsi="宋体" w:cs="宋体" w:hint="eastAsia"/>
          <w:spacing w:val="-3"/>
          <w:sz w:val="28"/>
          <w:szCs w:val="28"/>
        </w:rPr>
        <w:t>新增省</w:t>
      </w:r>
      <w:proofErr w:type="gramEnd"/>
      <w:r>
        <w:rPr>
          <w:rFonts w:ascii="宋体" w:eastAsia="宋体" w:hAnsi="宋体" w:cs="宋体" w:hint="eastAsia"/>
          <w:spacing w:val="-3"/>
          <w:sz w:val="28"/>
          <w:szCs w:val="28"/>
        </w:rPr>
        <w:t>“双千计划”领军人才2名、新增井冈特聘教授1名、</w:t>
      </w:r>
      <w:proofErr w:type="gramStart"/>
      <w:r>
        <w:rPr>
          <w:rFonts w:ascii="宋体" w:eastAsia="宋体" w:hAnsi="宋体" w:cs="宋体" w:hint="eastAsia"/>
          <w:spacing w:val="-3"/>
          <w:sz w:val="28"/>
          <w:szCs w:val="28"/>
        </w:rPr>
        <w:t>省金牌</w:t>
      </w:r>
      <w:proofErr w:type="gramEnd"/>
      <w:r>
        <w:rPr>
          <w:rFonts w:ascii="宋体" w:eastAsia="宋体" w:hAnsi="宋体" w:cs="宋体" w:hint="eastAsia"/>
          <w:spacing w:val="-3"/>
          <w:sz w:val="28"/>
          <w:szCs w:val="28"/>
        </w:rPr>
        <w:t>教师1名、1人入选2020年主要学科学术和技术带头人培养计划。2人入选校级青年井冈学者培育奖励计划，1名老师入选省高层次人才服务团到南昌经开区挂职锻炼。</w:t>
      </w:r>
    </w:p>
    <w:p w:rsidR="006C3C80" w:rsidRDefault="00000000">
      <w:pPr>
        <w:numPr>
          <w:ilvl w:val="0"/>
          <w:numId w:val="2"/>
        </w:num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科学研究</w:t>
      </w:r>
      <w:bookmarkStart w:id="5" w:name="bookmark39"/>
      <w:bookmarkStart w:id="6" w:name="bookmark40"/>
      <w:bookmarkEnd w:id="5"/>
      <w:bookmarkEnd w:id="6"/>
    </w:p>
    <w:p w:rsidR="006C3C80" w:rsidRDefault="00000000">
      <w:pPr>
        <w:spacing w:line="360" w:lineRule="auto"/>
        <w:ind w:firstLineChars="200" w:firstLine="604"/>
        <w:rPr>
          <w:rFonts w:ascii="宋体" w:eastAsia="宋体" w:hAnsi="宋体" w:cs="宋体" w:hint="eastAsia"/>
          <w:spacing w:val="-3"/>
          <w:sz w:val="28"/>
          <w:szCs w:val="28"/>
        </w:rPr>
      </w:pPr>
      <w:r>
        <w:rPr>
          <w:rFonts w:ascii="Times New Roman" w:eastAsia="宋体" w:hAnsi="Times New Roman" w:cs="宋体" w:hint="eastAsia"/>
          <w:spacing w:val="11"/>
          <w:sz w:val="28"/>
          <w:szCs w:val="28"/>
        </w:rPr>
        <w:t>2020</w:t>
      </w:r>
      <w:r>
        <w:rPr>
          <w:rFonts w:ascii="Times New Roman" w:eastAsia="宋体" w:hAnsi="Times New Roman" w:cs="宋体" w:hint="eastAsia"/>
          <w:spacing w:val="11"/>
          <w:sz w:val="28"/>
          <w:szCs w:val="28"/>
        </w:rPr>
        <w:t>年本</w:t>
      </w:r>
      <w:proofErr w:type="gramStart"/>
      <w:r>
        <w:rPr>
          <w:rFonts w:ascii="Times New Roman" w:eastAsia="宋体" w:hAnsi="Times New Roman" w:cs="宋体" w:hint="eastAsia"/>
          <w:spacing w:val="11"/>
          <w:sz w:val="28"/>
          <w:szCs w:val="28"/>
        </w:rPr>
        <w:t>学科获批国家</w:t>
      </w:r>
      <w:proofErr w:type="gramEnd"/>
      <w:r>
        <w:rPr>
          <w:rFonts w:ascii="Times New Roman" w:eastAsia="宋体" w:hAnsi="Times New Roman" w:cs="宋体" w:hint="eastAsia"/>
          <w:spacing w:val="11"/>
          <w:sz w:val="28"/>
          <w:szCs w:val="28"/>
        </w:rPr>
        <w:t>基金</w:t>
      </w:r>
      <w:r>
        <w:rPr>
          <w:rFonts w:ascii="Times New Roman" w:eastAsia="宋体" w:hAnsi="Times New Roman" w:cs="宋体" w:hint="eastAsia"/>
          <w:spacing w:val="11"/>
          <w:sz w:val="28"/>
          <w:szCs w:val="28"/>
        </w:rPr>
        <w:t>3</w:t>
      </w:r>
      <w:r>
        <w:rPr>
          <w:rFonts w:ascii="Times New Roman" w:eastAsia="宋体" w:hAnsi="Times New Roman" w:cs="宋体" w:hint="eastAsia"/>
          <w:spacing w:val="11"/>
          <w:sz w:val="28"/>
          <w:szCs w:val="28"/>
        </w:rPr>
        <w:t>项，省级科研项目</w:t>
      </w:r>
      <w:r>
        <w:rPr>
          <w:rFonts w:ascii="Times New Roman" w:eastAsia="宋体" w:hAnsi="Times New Roman" w:cs="宋体" w:hint="eastAsia"/>
          <w:spacing w:val="11"/>
          <w:sz w:val="28"/>
          <w:szCs w:val="28"/>
        </w:rPr>
        <w:t>17</w:t>
      </w:r>
      <w:r>
        <w:rPr>
          <w:rFonts w:ascii="Times New Roman" w:eastAsia="宋体" w:hAnsi="Times New Roman" w:cs="宋体" w:hint="eastAsia"/>
          <w:spacing w:val="11"/>
          <w:sz w:val="28"/>
          <w:szCs w:val="28"/>
        </w:rPr>
        <w:t>项，纵向科研经费达到</w:t>
      </w:r>
      <w:r w:rsidRPr="00AF68D8">
        <w:rPr>
          <w:rFonts w:ascii="Times New Roman" w:eastAsia="宋体" w:hAnsi="Times New Roman" w:cs="宋体" w:hint="eastAsia"/>
          <w:spacing w:val="11"/>
          <w:sz w:val="28"/>
          <w:szCs w:val="28"/>
        </w:rPr>
        <w:t>167</w:t>
      </w:r>
      <w:r w:rsidRPr="00AF68D8">
        <w:rPr>
          <w:rFonts w:ascii="Times New Roman" w:eastAsia="宋体" w:hAnsi="Times New Roman" w:cs="宋体" w:hint="eastAsia"/>
          <w:spacing w:val="11"/>
          <w:sz w:val="28"/>
          <w:szCs w:val="28"/>
        </w:rPr>
        <w:t>余万元，横向科研经费达到</w:t>
      </w:r>
      <w:r w:rsidRPr="00AF68D8">
        <w:rPr>
          <w:rFonts w:ascii="Times New Roman" w:eastAsia="宋体" w:hAnsi="Times New Roman" w:cs="宋体" w:hint="eastAsia"/>
          <w:spacing w:val="11"/>
          <w:sz w:val="28"/>
          <w:szCs w:val="28"/>
        </w:rPr>
        <w:t>50</w:t>
      </w:r>
      <w:r w:rsidRPr="00AF68D8">
        <w:rPr>
          <w:rFonts w:ascii="Times New Roman" w:eastAsia="宋体" w:hAnsi="Times New Roman" w:cs="宋体" w:hint="eastAsia"/>
          <w:spacing w:val="11"/>
          <w:sz w:val="28"/>
          <w:szCs w:val="28"/>
        </w:rPr>
        <w:t>余万元。</w:t>
      </w:r>
      <w:r w:rsidRPr="00AF68D8">
        <w:rPr>
          <w:rFonts w:ascii="宋体" w:eastAsia="宋体" w:hAnsi="宋体" w:cs="宋体" w:hint="eastAsia"/>
          <w:spacing w:val="-3"/>
          <w:sz w:val="28"/>
          <w:szCs w:val="28"/>
        </w:rPr>
        <w:t>获批研究生省级教改课题4项</w:t>
      </w:r>
      <w:r w:rsidR="00DD39F8">
        <w:rPr>
          <w:rFonts w:ascii="宋体" w:eastAsia="宋体" w:hAnsi="宋体" w:cs="宋体" w:hint="eastAsia"/>
          <w:spacing w:val="-3"/>
          <w:sz w:val="28"/>
          <w:szCs w:val="28"/>
        </w:rPr>
        <w:t>；《质量管理与方法》课程通过学校审批</w:t>
      </w:r>
      <w:r w:rsidRPr="00DD39F8">
        <w:rPr>
          <w:rFonts w:ascii="宋体" w:eastAsia="宋体" w:hAnsi="宋体" w:cs="宋体" w:hint="eastAsia"/>
          <w:spacing w:val="-3"/>
          <w:sz w:val="28"/>
          <w:szCs w:val="28"/>
        </w:rPr>
        <w:t>。</w:t>
      </w:r>
      <w:r w:rsidRPr="00AF68D8">
        <w:rPr>
          <w:rFonts w:ascii="宋体" w:eastAsia="宋体" w:hAnsi="宋体" w:cs="宋体" w:hint="eastAsia"/>
          <w:spacing w:val="-3"/>
          <w:sz w:val="28"/>
          <w:szCs w:val="28"/>
        </w:rPr>
        <w:t>疫情期间</w:t>
      </w:r>
      <w:r>
        <w:rPr>
          <w:rFonts w:ascii="宋体" w:eastAsia="宋体" w:hAnsi="宋体" w:cs="宋体" w:hint="eastAsia"/>
          <w:spacing w:val="-3"/>
          <w:sz w:val="28"/>
          <w:szCs w:val="28"/>
        </w:rPr>
        <w:t>线上教学获校级教学优质课程二等奖1项、三等奖1项；2020年共发表论文50余篇，其中：SCI收录3篇，在CSSCI等高级别期刊发表9篇，2020年共出版专著3部。</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lastRenderedPageBreak/>
        <w:t>（四）传承创新优秀文化</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全面提升学科凝聚力和影响力。通过各种渠道全面梳理了学科发展历史，不断总结、凝练学科特点并创新文化特色，形成学科发展史，同时设计打造学科文化品牌产品，并充分利用媒体平台，积极宣传，不断扩大影响力和号召力，助推一流学科建设，同时立足基本学科本色，加强校企合作交流，建立教师、校友、企业捐赠信息融入文化建设机制，有力提升了师生归属感、荣誉感和获得感，进一步激发奋斗热情。</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（五）国际合作交流</w:t>
      </w:r>
    </w:p>
    <w:p w:rsidR="006C3C80" w:rsidRPr="00AF68D8"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积极探索国际化研究生培养模式，通过国际项目合作、国家留学基金委</w:t>
      </w:r>
      <w:r w:rsidRPr="00AF68D8">
        <w:rPr>
          <w:rFonts w:ascii="宋体" w:eastAsia="宋体" w:hAnsi="宋体" w:cs="宋体" w:hint="eastAsia"/>
          <w:spacing w:val="-3"/>
          <w:sz w:val="28"/>
          <w:szCs w:val="28"/>
        </w:rPr>
        <w:t>等资助，鼓励导师和研究生攻读博士学位；鼓励研究生导师赴海外进行学术交流和</w:t>
      </w:r>
      <w:r w:rsidR="00E34720" w:rsidRPr="00AF68D8">
        <w:rPr>
          <w:rFonts w:ascii="宋体" w:eastAsia="宋体" w:hAnsi="宋体" w:cs="宋体" w:hint="eastAsia"/>
          <w:spacing w:val="-3"/>
          <w:sz w:val="28"/>
          <w:szCs w:val="28"/>
        </w:rPr>
        <w:t>留学</w:t>
      </w:r>
      <w:r w:rsidRPr="00AF68D8">
        <w:rPr>
          <w:rFonts w:ascii="宋体" w:eastAsia="宋体" w:hAnsi="宋体" w:cs="宋体" w:hint="eastAsia"/>
          <w:spacing w:val="-3"/>
          <w:sz w:val="28"/>
          <w:szCs w:val="28"/>
        </w:rPr>
        <w:t>。继续推进办学国际化，积极打造双语课程与全英文课程。</w:t>
      </w:r>
    </w:p>
    <w:p w:rsidR="006C3C80" w:rsidRPr="00B17A2D" w:rsidRDefault="00000000">
      <w:pPr>
        <w:snapToGrid w:val="0"/>
        <w:spacing w:line="360" w:lineRule="auto"/>
        <w:ind w:firstLineChars="200" w:firstLine="640"/>
        <w:textAlignment w:val="baseline"/>
        <w:rPr>
          <w:rStyle w:val="NormalCharacter"/>
          <w:rFonts w:ascii="黑体" w:eastAsia="黑体" w:hAnsi="黑体" w:cs="宋体" w:hint="eastAsia"/>
          <w:bCs/>
          <w:szCs w:val="32"/>
        </w:rPr>
      </w:pPr>
      <w:r w:rsidRPr="00B17A2D">
        <w:rPr>
          <w:rStyle w:val="NormalCharacter"/>
          <w:rFonts w:ascii="黑体" w:eastAsia="黑体" w:hAnsi="黑体" w:cs="宋体" w:hint="eastAsia"/>
          <w:bCs/>
          <w:szCs w:val="32"/>
        </w:rPr>
        <w:t>五、教育质量评估与分析</w:t>
      </w:r>
    </w:p>
    <w:p w:rsidR="006C3C80" w:rsidRDefault="00000000">
      <w:pPr>
        <w:spacing w:line="360" w:lineRule="auto"/>
        <w:ind w:firstLineChars="200" w:firstLine="548"/>
        <w:rPr>
          <w:rFonts w:ascii="宋体" w:eastAsia="宋体" w:hAnsi="宋体" w:cs="宋体" w:hint="eastAsia"/>
          <w:spacing w:val="-3"/>
          <w:sz w:val="28"/>
          <w:szCs w:val="28"/>
        </w:rPr>
      </w:pPr>
      <w:r w:rsidRPr="00AF68D8">
        <w:rPr>
          <w:rFonts w:ascii="宋体" w:eastAsia="宋体" w:hAnsi="宋体" w:cs="宋体" w:hint="eastAsia"/>
          <w:spacing w:val="-3"/>
          <w:sz w:val="28"/>
          <w:szCs w:val="28"/>
        </w:rPr>
        <w:t>（一）学科</w:t>
      </w:r>
      <w:r>
        <w:rPr>
          <w:rFonts w:ascii="宋体" w:eastAsia="宋体" w:hAnsi="宋体" w:cs="宋体" w:hint="eastAsia"/>
          <w:spacing w:val="-3"/>
          <w:sz w:val="28"/>
          <w:szCs w:val="28"/>
        </w:rPr>
        <w:t>自我评估进展及分析</w:t>
      </w:r>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近年来本学科整体实力在不断提升，学科建设稳步推进、学科管理逐渐规范。但是同省内外兄弟高校相比仍存在着较大差距，具体表现在选修课种类有限，未能满足学生个性化学习需求；教师科研能力参差不齐，部分教师科研方向与学科前沿脱节；科研项目数量少，质量不高，缺乏高水平科研成果（如高影响因子论文、国家级项目等）。</w:t>
      </w:r>
    </w:p>
    <w:p w:rsidR="006C3C80" w:rsidRDefault="00000000">
      <w:pPr>
        <w:spacing w:line="360" w:lineRule="auto"/>
        <w:ind w:left="19" w:firstLineChars="200" w:firstLine="552"/>
        <w:outlineLvl w:val="1"/>
        <w:rPr>
          <w:rFonts w:ascii="宋体" w:eastAsia="宋体" w:hAnsi="宋体" w:cs="宋体" w:hint="eastAsia"/>
          <w:spacing w:val="-2"/>
          <w:sz w:val="28"/>
          <w:szCs w:val="28"/>
        </w:rPr>
      </w:pPr>
      <w:bookmarkStart w:id="7" w:name="bookmark48"/>
      <w:bookmarkStart w:id="8" w:name="bookmark47"/>
      <w:bookmarkEnd w:id="7"/>
      <w:bookmarkEnd w:id="8"/>
      <w:r>
        <w:rPr>
          <w:rFonts w:ascii="宋体" w:eastAsia="宋体" w:hAnsi="宋体" w:cs="宋体" w:hint="eastAsia"/>
          <w:spacing w:val="-2"/>
          <w:sz w:val="28"/>
          <w:szCs w:val="28"/>
        </w:rPr>
        <w:t>（二）学位论文抽检、</w:t>
      </w:r>
      <w:proofErr w:type="gramStart"/>
      <w:r>
        <w:rPr>
          <w:rFonts w:ascii="宋体" w:eastAsia="宋体" w:hAnsi="宋体" w:cs="宋体" w:hint="eastAsia"/>
          <w:spacing w:val="-2"/>
          <w:sz w:val="28"/>
          <w:szCs w:val="28"/>
        </w:rPr>
        <w:t>盲审情况</w:t>
      </w:r>
      <w:proofErr w:type="gramEnd"/>
    </w:p>
    <w:p w:rsidR="006C3C80" w:rsidRDefault="00000000">
      <w:pPr>
        <w:spacing w:line="360" w:lineRule="auto"/>
        <w:ind w:firstLineChars="200" w:firstLine="548"/>
        <w:rPr>
          <w:rFonts w:ascii="宋体" w:eastAsia="宋体" w:hAnsi="宋体" w:cs="宋体" w:hint="eastAsia"/>
          <w:spacing w:val="-3"/>
          <w:sz w:val="28"/>
          <w:szCs w:val="28"/>
        </w:rPr>
      </w:pPr>
      <w:r>
        <w:rPr>
          <w:rFonts w:ascii="宋体" w:eastAsia="宋体" w:hAnsi="宋体" w:cs="宋体" w:hint="eastAsia"/>
          <w:spacing w:val="-3"/>
          <w:sz w:val="28"/>
          <w:szCs w:val="28"/>
        </w:rPr>
        <w:t>学院采取 100%</w:t>
      </w:r>
      <w:proofErr w:type="gramStart"/>
      <w:r>
        <w:rPr>
          <w:rFonts w:ascii="宋体" w:eastAsia="宋体" w:hAnsi="宋体" w:cs="宋体" w:hint="eastAsia"/>
          <w:spacing w:val="-3"/>
          <w:sz w:val="28"/>
          <w:szCs w:val="28"/>
        </w:rPr>
        <w:t>盲审制度</w:t>
      </w:r>
      <w:proofErr w:type="gramEnd"/>
      <w:r>
        <w:rPr>
          <w:rFonts w:ascii="宋体" w:eastAsia="宋体" w:hAnsi="宋体" w:cs="宋体" w:hint="eastAsia"/>
          <w:spacing w:val="-3"/>
          <w:sz w:val="28"/>
          <w:szCs w:val="28"/>
        </w:rPr>
        <w:t>，级别分为校级盲审（由研究生院送审） 和院</w:t>
      </w:r>
      <w:r>
        <w:rPr>
          <w:rFonts w:ascii="宋体" w:eastAsia="宋体" w:hAnsi="宋体" w:cs="宋体" w:hint="eastAsia"/>
          <w:spacing w:val="-3"/>
          <w:sz w:val="28"/>
          <w:szCs w:val="28"/>
        </w:rPr>
        <w:lastRenderedPageBreak/>
        <w:t>级盲审（由学院送审），论文抽检 100%通过。</w:t>
      </w:r>
    </w:p>
    <w:p w:rsidR="006C3C80" w:rsidRPr="00867F81" w:rsidRDefault="00000000">
      <w:pPr>
        <w:snapToGrid w:val="0"/>
        <w:spacing w:line="360" w:lineRule="auto"/>
        <w:ind w:firstLineChars="200" w:firstLine="640"/>
        <w:textAlignment w:val="baseline"/>
        <w:rPr>
          <w:rStyle w:val="NormalCharacter"/>
          <w:rFonts w:ascii="黑体" w:eastAsia="黑体" w:hAnsi="黑体" w:cs="宋体" w:hint="eastAsia"/>
          <w:bCs/>
          <w:szCs w:val="32"/>
        </w:rPr>
      </w:pPr>
      <w:r w:rsidRPr="00867F81">
        <w:rPr>
          <w:rStyle w:val="NormalCharacter"/>
          <w:rFonts w:ascii="黑体" w:eastAsia="黑体" w:hAnsi="黑体" w:cs="宋体" w:hint="eastAsia"/>
          <w:bCs/>
          <w:szCs w:val="32"/>
        </w:rPr>
        <w:t>六、改进措施</w:t>
      </w:r>
    </w:p>
    <w:p w:rsidR="006C3C80" w:rsidRDefault="00000000">
      <w:pPr>
        <w:spacing w:line="360" w:lineRule="auto"/>
        <w:ind w:firstLineChars="200" w:firstLine="596"/>
        <w:rPr>
          <w:rFonts w:ascii="宋体" w:eastAsia="宋体" w:hAnsi="宋体" w:cs="宋体" w:hint="eastAsia"/>
          <w:spacing w:val="9"/>
          <w:sz w:val="28"/>
          <w:szCs w:val="28"/>
        </w:rPr>
      </w:pPr>
      <w:bookmarkStart w:id="9" w:name="bookmark42"/>
      <w:bookmarkEnd w:id="9"/>
      <w:r>
        <w:rPr>
          <w:rFonts w:ascii="宋体" w:eastAsia="宋体" w:hAnsi="宋体" w:cs="宋体" w:hint="eastAsia"/>
          <w:spacing w:val="9"/>
          <w:sz w:val="28"/>
          <w:szCs w:val="28"/>
        </w:rPr>
        <w:t>一是丰富选修课种类，满足学生的多元化需求。</w:t>
      </w:r>
    </w:p>
    <w:p w:rsidR="006C3C80" w:rsidRDefault="00000000">
      <w:pPr>
        <w:spacing w:line="360" w:lineRule="auto"/>
        <w:ind w:firstLineChars="200" w:firstLine="596"/>
        <w:rPr>
          <w:rFonts w:ascii="宋体" w:eastAsia="宋体" w:hAnsi="宋体" w:cs="宋体" w:hint="eastAsia"/>
          <w:spacing w:val="9"/>
          <w:sz w:val="28"/>
          <w:szCs w:val="28"/>
        </w:rPr>
      </w:pPr>
      <w:r>
        <w:rPr>
          <w:rFonts w:ascii="宋体" w:eastAsia="宋体" w:hAnsi="宋体" w:cs="宋体" w:hint="eastAsia"/>
          <w:spacing w:val="9"/>
          <w:sz w:val="28"/>
          <w:szCs w:val="28"/>
        </w:rPr>
        <w:t>二是鼓励教师参与高水平科研项目和国际学术交流，提升科研能力。</w:t>
      </w:r>
    </w:p>
    <w:p w:rsidR="006C3C80" w:rsidRDefault="00000000">
      <w:pPr>
        <w:spacing w:line="360" w:lineRule="auto"/>
        <w:ind w:firstLineChars="200" w:firstLine="596"/>
        <w:rPr>
          <w:rFonts w:ascii="宋体" w:eastAsia="宋体" w:hAnsi="宋体" w:cs="宋体" w:hint="eastAsia"/>
          <w:spacing w:val="9"/>
          <w:sz w:val="28"/>
          <w:szCs w:val="28"/>
        </w:rPr>
      </w:pPr>
      <w:r>
        <w:rPr>
          <w:rFonts w:ascii="宋体" w:eastAsia="宋体" w:hAnsi="宋体" w:cs="宋体" w:hint="eastAsia"/>
          <w:spacing w:val="9"/>
          <w:sz w:val="28"/>
          <w:szCs w:val="28"/>
        </w:rPr>
        <w:t>三是加大科研经费投入，支持教师申报国家级项目和国际合作项目。</w:t>
      </w:r>
    </w:p>
    <w:p w:rsidR="006C3C80" w:rsidRDefault="006C3C80">
      <w:pPr>
        <w:spacing w:line="360" w:lineRule="auto"/>
        <w:ind w:firstLineChars="200" w:firstLine="596"/>
        <w:rPr>
          <w:rFonts w:ascii="宋体" w:eastAsia="宋体" w:hAnsi="宋体" w:cs="宋体" w:hint="eastAsia"/>
          <w:spacing w:val="9"/>
          <w:sz w:val="28"/>
          <w:szCs w:val="28"/>
        </w:rPr>
      </w:pPr>
    </w:p>
    <w:sectPr w:rsidR="006C3C80" w:rsidSect="00441B6B">
      <w:footerReference w:type="default" r:id="rId14"/>
      <w:footerReference w:type="first" r:id="rId15"/>
      <w:pgSz w:w="11906" w:h="16838"/>
      <w:pgMar w:top="2155" w:right="1435" w:bottom="1588" w:left="1435" w:header="851" w:footer="158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66F6" w:rsidRDefault="004966F6">
      <w:pPr>
        <w:rPr>
          <w:rFonts w:hint="eastAsia"/>
        </w:rPr>
      </w:pPr>
      <w:r>
        <w:separator/>
      </w:r>
    </w:p>
  </w:endnote>
  <w:endnote w:type="continuationSeparator" w:id="0">
    <w:p w:rsidR="004966F6" w:rsidRDefault="004966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80" w:rsidRDefault="006C3C80">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80" w:rsidRDefault="00000000">
    <w:pPr>
      <w:pStyle w:val="a4"/>
      <w:wordWrap w:val="0"/>
      <w:jc w:val="righ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C80" w:rsidRDefault="00000000">
                          <w:pPr>
                            <w:pStyle w:val="a4"/>
                            <w:wordWrap w:val="0"/>
                            <w:jc w:val="right"/>
                            <w:rPr>
                              <w:rFonts w:hint="eastAsia"/>
                            </w:rPr>
                          </w:pPr>
                          <w:sdt>
                            <w:sdtPr>
                              <w:id w:val="147470197"/>
                            </w:sdtPr>
                            <w:sdtEndPr>
                              <w:rPr>
                                <w:rFonts w:ascii="宋体" w:eastAsia="宋体" w:hAnsi="宋体"/>
                                <w:sz w:val="28"/>
                              </w:rPr>
                            </w:sdtEndPr>
                            <w:sdtContent>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23</w:t>
                              </w:r>
                              <w:r>
                                <w:rPr>
                                  <w:rFonts w:ascii="宋体" w:eastAsia="宋体" w:hAnsi="宋体"/>
                                  <w:sz w:val="28"/>
                                </w:rPr>
                                <w:fldChar w:fldCharType="end"/>
                              </w:r>
                            </w:sdtContent>
                          </w:sdt>
                          <w:r>
                            <w:rPr>
                              <w:rFonts w:ascii="宋体" w:eastAsia="宋体" w:hAnsi="宋体" w:hint="eastAsia"/>
                              <w:sz w:val="28"/>
                            </w:rPr>
                            <w:t xml:space="preserve"> —</w:t>
                          </w:r>
                          <w:r>
                            <w:rPr>
                              <w:rFonts w:ascii="宋体" w:eastAsia="宋体" w:hAnsi="宋体" w:hint="eastAsia"/>
                              <w:color w:val="FFFFFF" w:themeColor="background1"/>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C3C80" w:rsidRDefault="00000000">
                    <w:pPr>
                      <w:pStyle w:val="a4"/>
                      <w:wordWrap w:val="0"/>
                      <w:jc w:val="right"/>
                      <w:rPr>
                        <w:rFonts w:hint="eastAsia"/>
                      </w:rPr>
                    </w:pPr>
                    <w:sdt>
                      <w:sdtPr>
                        <w:id w:val="147470197"/>
                      </w:sdtPr>
                      <w:sdtEndPr>
                        <w:rPr>
                          <w:rFonts w:ascii="宋体" w:eastAsia="宋体" w:hAnsi="宋体"/>
                          <w:sz w:val="28"/>
                        </w:rPr>
                      </w:sdtEndPr>
                      <w:sdtContent>
                        <w:r>
                          <w:rPr>
                            <w:rFonts w:ascii="宋体" w:eastAsia="宋体" w:hAnsi="宋体" w:hint="eastAsia"/>
                            <w:sz w:val="28"/>
                          </w:rPr>
                          <w:t xml:space="preserve">— </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23</w:t>
                        </w:r>
                        <w:r>
                          <w:rPr>
                            <w:rFonts w:ascii="宋体" w:eastAsia="宋体" w:hAnsi="宋体"/>
                            <w:sz w:val="28"/>
                          </w:rPr>
                          <w:fldChar w:fldCharType="end"/>
                        </w:r>
                      </w:sdtContent>
                    </w:sdt>
                    <w:r>
                      <w:rPr>
                        <w:rFonts w:ascii="宋体" w:eastAsia="宋体" w:hAnsi="宋体" w:hint="eastAsia"/>
                        <w:sz w:val="28"/>
                      </w:rPr>
                      <w:t xml:space="preserve"> —</w:t>
                    </w:r>
                    <w:r>
                      <w:rPr>
                        <w:rFonts w:ascii="宋体" w:eastAsia="宋体" w:hAnsi="宋体" w:hint="eastAsia"/>
                        <w:color w:val="FFFFFF" w:themeColor="background1"/>
                        <w:sz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80" w:rsidRDefault="00441B6B" w:rsidP="00441B6B">
    <w:pPr>
      <w:pStyle w:val="a4"/>
      <w:tabs>
        <w:tab w:val="center" w:pos="4518"/>
        <w:tab w:val="right" w:pos="9036"/>
      </w:tabs>
      <w:wordWrap w:val="0"/>
      <w:rPr>
        <w:rFonts w:hint="eastAsia"/>
      </w:rPr>
    </w:pPr>
    <w:r>
      <w:rPr>
        <w:rFonts w:ascii="宋体" w:eastAsia="宋体" w:hAnsi="宋体" w:hint="eastAsia"/>
        <w:color w:val="FFFFFF" w:themeColor="background1"/>
        <w:sz w:val="2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80" w:rsidRDefault="00000000">
    <w:pPr>
      <w:pStyle w:val="a4"/>
      <w:jc w:val="center"/>
      <w:rPr>
        <w:rStyle w:val="NormalCharacter"/>
        <w:rFonts w:ascii="仿宋_GB2312" w:eastAsia="仿宋_GB2312" w:hint="eastAsia"/>
        <w:sz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posOffset>2839508</wp:posOffset>
              </wp:positionH>
              <wp:positionV relativeFrom="paragraph">
                <wp:posOffset>-4233</wp:posOffset>
              </wp:positionV>
              <wp:extent cx="211667" cy="182880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21166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C80" w:rsidRDefault="00000000">
                          <w:pPr>
                            <w:pStyle w:val="a4"/>
                            <w:rPr>
                              <w:rFonts w:hint="eastAsia"/>
                            </w:rPr>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23.6pt;margin-top:-.35pt;width:16.6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" filled="f" stroked="f" strokeweight=".5pt">
              <v:textbox style="mso-fit-shape-to-text:t" inset="0,0,0,0">
                <w:txbxContent>
                  <w:p w:rsidR="006C3C80" w:rsidRDefault="00000000">
                    <w:pPr>
                      <w:pStyle w:val="a4"/>
                      <w:rPr>
                        <w:rFonts w:hint="eastAsia"/>
                      </w:rPr>
                    </w:pPr>
                    <w:r>
                      <w:fldChar w:fldCharType="begin"/>
                    </w:r>
                    <w:r>
                      <w:instrText xml:space="preserve"> PAGE  \* MERGEFORMAT </w:instrText>
                    </w:r>
                    <w:r>
                      <w:fldChar w:fldCharType="separate"/>
                    </w:r>
                    <w:r>
                      <w:t>4</w:t>
                    </w:r>
                    <w:r>
                      <w:fldChar w:fldCharType="end"/>
                    </w:r>
                  </w:p>
                </w:txbxContent>
              </v:textbox>
              <w10:wrap anchorx="margin"/>
            </v:shape>
          </w:pict>
        </mc:Fallback>
      </mc:AlternateContent>
    </w:r>
    <w:r>
      <w:rPr>
        <w:rStyle w:val="NormalCharacter"/>
        <w:rFonts w:ascii="仿宋_GB2312" w:eastAsia="仿宋_GB2312" w:hint="eastAsia"/>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80" w:rsidRDefault="00000000">
    <w:pPr>
      <w:pStyle w:val="a4"/>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C80" w:rsidRDefault="00000000">
                          <w:pPr>
                            <w:pStyle w:val="a4"/>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6C3C80" w:rsidRDefault="00000000">
                    <w:pPr>
                      <w:pStyle w:val="a4"/>
                      <w:rPr>
                        <w:rFonts w:hint="eastAsia"/>
                      </w:rPr>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66F6" w:rsidRDefault="004966F6">
      <w:pPr>
        <w:rPr>
          <w:rFonts w:hint="eastAsia"/>
        </w:rPr>
      </w:pPr>
      <w:r>
        <w:separator/>
      </w:r>
    </w:p>
  </w:footnote>
  <w:footnote w:type="continuationSeparator" w:id="0">
    <w:p w:rsidR="004966F6" w:rsidRDefault="004966F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C80" w:rsidRDefault="006C3C80">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1B6B" w:rsidRDefault="00441B6B">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1B6B" w:rsidRDefault="00441B6B">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FED05"/>
    <w:multiLevelType w:val="singleLevel"/>
    <w:tmpl w:val="AD7FED05"/>
    <w:lvl w:ilvl="0">
      <w:start w:val="3"/>
      <w:numFmt w:val="chineseCounting"/>
      <w:suff w:val="nothing"/>
      <w:lvlText w:val="（%1）"/>
      <w:lvlJc w:val="left"/>
      <w:rPr>
        <w:rFonts w:hint="eastAsia"/>
      </w:rPr>
    </w:lvl>
  </w:abstractNum>
  <w:abstractNum w:abstractNumId="1" w15:restartNumberingAfterBreak="0">
    <w:nsid w:val="0502926C"/>
    <w:multiLevelType w:val="singleLevel"/>
    <w:tmpl w:val="0502926C"/>
    <w:lvl w:ilvl="0">
      <w:start w:val="4"/>
      <w:numFmt w:val="chineseCounting"/>
      <w:suff w:val="nothing"/>
      <w:lvlText w:val="%1、"/>
      <w:lvlJc w:val="left"/>
      <w:rPr>
        <w:rFonts w:hint="eastAsia"/>
      </w:rPr>
    </w:lvl>
  </w:abstractNum>
  <w:num w:numId="1" w16cid:durableId="657616468">
    <w:abstractNumId w:val="1"/>
  </w:num>
  <w:num w:numId="2" w16cid:durableId="132323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5A"/>
    <w:rsid w:val="000243CF"/>
    <w:rsid w:val="000507A6"/>
    <w:rsid w:val="000A7BA1"/>
    <w:rsid w:val="00156E51"/>
    <w:rsid w:val="00280313"/>
    <w:rsid w:val="002D24E5"/>
    <w:rsid w:val="00322D77"/>
    <w:rsid w:val="00356DFB"/>
    <w:rsid w:val="003E3453"/>
    <w:rsid w:val="00441B6B"/>
    <w:rsid w:val="004966F6"/>
    <w:rsid w:val="004E3BF9"/>
    <w:rsid w:val="004E4351"/>
    <w:rsid w:val="00532435"/>
    <w:rsid w:val="00545E99"/>
    <w:rsid w:val="0060030E"/>
    <w:rsid w:val="00607C5A"/>
    <w:rsid w:val="00683A21"/>
    <w:rsid w:val="006A7567"/>
    <w:rsid w:val="006C3C80"/>
    <w:rsid w:val="007538EA"/>
    <w:rsid w:val="00846543"/>
    <w:rsid w:val="00850011"/>
    <w:rsid w:val="00867F81"/>
    <w:rsid w:val="00874D77"/>
    <w:rsid w:val="00895763"/>
    <w:rsid w:val="008E1352"/>
    <w:rsid w:val="008F1A5D"/>
    <w:rsid w:val="0090675F"/>
    <w:rsid w:val="00926DC6"/>
    <w:rsid w:val="009331D7"/>
    <w:rsid w:val="009C3937"/>
    <w:rsid w:val="009C5EAF"/>
    <w:rsid w:val="00A01A16"/>
    <w:rsid w:val="00A15B16"/>
    <w:rsid w:val="00A4661E"/>
    <w:rsid w:val="00A878EC"/>
    <w:rsid w:val="00AA7DE0"/>
    <w:rsid w:val="00AD72BC"/>
    <w:rsid w:val="00AF68D8"/>
    <w:rsid w:val="00B05BC1"/>
    <w:rsid w:val="00B17A2D"/>
    <w:rsid w:val="00B447E3"/>
    <w:rsid w:val="00B762B0"/>
    <w:rsid w:val="00BB7F2F"/>
    <w:rsid w:val="00BF04D5"/>
    <w:rsid w:val="00BF728E"/>
    <w:rsid w:val="00C1007E"/>
    <w:rsid w:val="00CA7EEA"/>
    <w:rsid w:val="00CC526A"/>
    <w:rsid w:val="00DD39F8"/>
    <w:rsid w:val="00E03D19"/>
    <w:rsid w:val="00E34720"/>
    <w:rsid w:val="00E67A2D"/>
    <w:rsid w:val="00EB0584"/>
    <w:rsid w:val="00EF6FF3"/>
    <w:rsid w:val="00F148CB"/>
    <w:rsid w:val="00FB5393"/>
    <w:rsid w:val="00FC5753"/>
    <w:rsid w:val="01BB7833"/>
    <w:rsid w:val="01F66ABD"/>
    <w:rsid w:val="054343E0"/>
    <w:rsid w:val="067508F8"/>
    <w:rsid w:val="06B44EDA"/>
    <w:rsid w:val="06E45A7E"/>
    <w:rsid w:val="077906E0"/>
    <w:rsid w:val="077961C6"/>
    <w:rsid w:val="08AE6343"/>
    <w:rsid w:val="094153FB"/>
    <w:rsid w:val="0A4F1460"/>
    <w:rsid w:val="0B84338B"/>
    <w:rsid w:val="0C3721AC"/>
    <w:rsid w:val="0CE51C08"/>
    <w:rsid w:val="0D102222"/>
    <w:rsid w:val="0D197B03"/>
    <w:rsid w:val="0E0E518E"/>
    <w:rsid w:val="0E9E794E"/>
    <w:rsid w:val="0F5117D6"/>
    <w:rsid w:val="0F6A7D35"/>
    <w:rsid w:val="0FFC1742"/>
    <w:rsid w:val="10A00B00"/>
    <w:rsid w:val="117F087D"/>
    <w:rsid w:val="11B83D8F"/>
    <w:rsid w:val="11D861DF"/>
    <w:rsid w:val="120211F9"/>
    <w:rsid w:val="124949E7"/>
    <w:rsid w:val="13C702B9"/>
    <w:rsid w:val="14757D15"/>
    <w:rsid w:val="15535E8C"/>
    <w:rsid w:val="1663076D"/>
    <w:rsid w:val="185F6D12"/>
    <w:rsid w:val="18932E60"/>
    <w:rsid w:val="19EC6CCB"/>
    <w:rsid w:val="1A3366A8"/>
    <w:rsid w:val="1A9D7FC6"/>
    <w:rsid w:val="1B1F6C2C"/>
    <w:rsid w:val="1C364665"/>
    <w:rsid w:val="1D5030CD"/>
    <w:rsid w:val="1DAF6046"/>
    <w:rsid w:val="1E075E82"/>
    <w:rsid w:val="20266765"/>
    <w:rsid w:val="21A47E8B"/>
    <w:rsid w:val="23E9602A"/>
    <w:rsid w:val="24633A9B"/>
    <w:rsid w:val="24B823FA"/>
    <w:rsid w:val="254C2D14"/>
    <w:rsid w:val="255676EF"/>
    <w:rsid w:val="25657932"/>
    <w:rsid w:val="259E6D5D"/>
    <w:rsid w:val="26265313"/>
    <w:rsid w:val="267E514F"/>
    <w:rsid w:val="26A06E73"/>
    <w:rsid w:val="26C12FA3"/>
    <w:rsid w:val="26C97FF4"/>
    <w:rsid w:val="26E825C8"/>
    <w:rsid w:val="27046476"/>
    <w:rsid w:val="27402404"/>
    <w:rsid w:val="27B32BD6"/>
    <w:rsid w:val="27DA0163"/>
    <w:rsid w:val="28FE074F"/>
    <w:rsid w:val="29C04211"/>
    <w:rsid w:val="2A9B6CD2"/>
    <w:rsid w:val="2AFE373B"/>
    <w:rsid w:val="2B091169"/>
    <w:rsid w:val="2B326508"/>
    <w:rsid w:val="2BAF1907"/>
    <w:rsid w:val="2BDA1A1F"/>
    <w:rsid w:val="2CD258AD"/>
    <w:rsid w:val="2CE910DE"/>
    <w:rsid w:val="2DCE2518"/>
    <w:rsid w:val="2EB55486"/>
    <w:rsid w:val="2F917175"/>
    <w:rsid w:val="2FB96C5A"/>
    <w:rsid w:val="2FDB6640"/>
    <w:rsid w:val="31341444"/>
    <w:rsid w:val="32B86286"/>
    <w:rsid w:val="332901F1"/>
    <w:rsid w:val="34A23DDC"/>
    <w:rsid w:val="34ED239C"/>
    <w:rsid w:val="352B64A2"/>
    <w:rsid w:val="36CE3589"/>
    <w:rsid w:val="38E373C4"/>
    <w:rsid w:val="39C81415"/>
    <w:rsid w:val="3B141786"/>
    <w:rsid w:val="3C335C3C"/>
    <w:rsid w:val="3CEF73FC"/>
    <w:rsid w:val="3E6D50A6"/>
    <w:rsid w:val="3F87786E"/>
    <w:rsid w:val="3FCA1E8A"/>
    <w:rsid w:val="42982C9D"/>
    <w:rsid w:val="430A1DED"/>
    <w:rsid w:val="43284021"/>
    <w:rsid w:val="43741014"/>
    <w:rsid w:val="44354C47"/>
    <w:rsid w:val="44A91191"/>
    <w:rsid w:val="44AB315B"/>
    <w:rsid w:val="44AD6DEF"/>
    <w:rsid w:val="457C4AF8"/>
    <w:rsid w:val="45AD4CB1"/>
    <w:rsid w:val="45CB480C"/>
    <w:rsid w:val="45EE1AFF"/>
    <w:rsid w:val="466C2476"/>
    <w:rsid w:val="47BE4F54"/>
    <w:rsid w:val="48C93BB0"/>
    <w:rsid w:val="48D82045"/>
    <w:rsid w:val="49AF724A"/>
    <w:rsid w:val="4BD21CDC"/>
    <w:rsid w:val="4D7A78E7"/>
    <w:rsid w:val="4F4F48BB"/>
    <w:rsid w:val="4F910949"/>
    <w:rsid w:val="51B45471"/>
    <w:rsid w:val="51B82A14"/>
    <w:rsid w:val="52154A76"/>
    <w:rsid w:val="52AD62F0"/>
    <w:rsid w:val="52B96A43"/>
    <w:rsid w:val="5597091E"/>
    <w:rsid w:val="561346BC"/>
    <w:rsid w:val="57407733"/>
    <w:rsid w:val="58044C05"/>
    <w:rsid w:val="58A27717"/>
    <w:rsid w:val="59450261"/>
    <w:rsid w:val="5B2B24A8"/>
    <w:rsid w:val="5DF272AD"/>
    <w:rsid w:val="5FBF7663"/>
    <w:rsid w:val="5FC91698"/>
    <w:rsid w:val="5FCB425A"/>
    <w:rsid w:val="60E44BD2"/>
    <w:rsid w:val="633A3BD0"/>
    <w:rsid w:val="63864720"/>
    <w:rsid w:val="639F1A4E"/>
    <w:rsid w:val="64F04B95"/>
    <w:rsid w:val="658B0B4D"/>
    <w:rsid w:val="69A24425"/>
    <w:rsid w:val="6A1A3E14"/>
    <w:rsid w:val="6B797260"/>
    <w:rsid w:val="6CE17D59"/>
    <w:rsid w:val="6CEE7853"/>
    <w:rsid w:val="6E005A16"/>
    <w:rsid w:val="6E2A4841"/>
    <w:rsid w:val="6E9A19C7"/>
    <w:rsid w:val="6F375468"/>
    <w:rsid w:val="6F5033A9"/>
    <w:rsid w:val="710B44B6"/>
    <w:rsid w:val="727D13E4"/>
    <w:rsid w:val="73260884"/>
    <w:rsid w:val="732B52E4"/>
    <w:rsid w:val="73836ECE"/>
    <w:rsid w:val="764A2C11"/>
    <w:rsid w:val="76593F16"/>
    <w:rsid w:val="772938E8"/>
    <w:rsid w:val="79517126"/>
    <w:rsid w:val="7AC8166A"/>
    <w:rsid w:val="7BC736D0"/>
    <w:rsid w:val="7C55517F"/>
    <w:rsid w:val="7C741C86"/>
    <w:rsid w:val="7E470AF8"/>
    <w:rsid w:val="7E7502E4"/>
    <w:rsid w:val="7F12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6484B"/>
  <w15:docId w15:val="{E374334A-0F11-449F-B026-3B3FD73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semiHidden/>
    <w:unhideWhenUsed/>
    <w:qFormat/>
    <w:pPr>
      <w:spacing w:after="120"/>
    </w:pPr>
    <w:rPr>
      <w:rFonts w:ascii="Calibri" w:eastAsia="宋体" w:hAnsi="Calibri" w:cs="Times New Roman"/>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Normal (Web)"/>
    <w:basedOn w:val="a"/>
    <w:qFormat/>
    <w:pPr>
      <w:spacing w:beforeAutospacing="1" w:afterAutospacing="1"/>
      <w:jc w:val="left"/>
    </w:pPr>
    <w:rPr>
      <w:rFonts w:eastAsia="方正仿宋简体" w:cs="Times New Roman"/>
      <w:kern w:val="0"/>
      <w:sz w:val="24"/>
      <w:szCs w:val="24"/>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qFormat/>
    <w:rPr>
      <w:rFonts w:cstheme="majorBidi"/>
      <w:color w:val="2F5496" w:themeColor="accent1" w:themeShade="BF"/>
      <w:sz w:val="28"/>
      <w:szCs w:val="28"/>
    </w:rPr>
  </w:style>
  <w:style w:type="character" w:customStyle="1" w:styleId="50">
    <w:name w:val="标题 5 字符"/>
    <w:basedOn w:val="a1"/>
    <w:link w:val="5"/>
    <w:uiPriority w:val="9"/>
    <w:semiHidden/>
    <w:qFormat/>
    <w:rPr>
      <w:rFonts w:cstheme="majorBidi"/>
      <w:color w:val="2F5496" w:themeColor="accent1" w:themeShade="BF"/>
      <w:sz w:val="24"/>
      <w:szCs w:val="24"/>
    </w:rPr>
  </w:style>
  <w:style w:type="character" w:customStyle="1" w:styleId="60">
    <w:name w:val="标题 6 字符"/>
    <w:basedOn w:val="a1"/>
    <w:link w:val="6"/>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c">
    <w:name w:val="标题 字符"/>
    <w:basedOn w:val="a1"/>
    <w:link w:val="ab"/>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1"/>
    <w:link w:val="ad"/>
    <w:uiPriority w:val="29"/>
    <w:qFormat/>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1"/>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1">
    <w:name w:val="明显引用 字符"/>
    <w:basedOn w:val="a1"/>
    <w:link w:val="af0"/>
    <w:uiPriority w:val="30"/>
    <w:qFormat/>
    <w:rPr>
      <w:i/>
      <w:iCs/>
      <w:color w:val="2F5496" w:themeColor="accent1" w:themeShade="BF"/>
    </w:rPr>
  </w:style>
  <w:style w:type="character" w:customStyle="1" w:styleId="12">
    <w:name w:val="明显参考1"/>
    <w:basedOn w:val="a1"/>
    <w:uiPriority w:val="32"/>
    <w:qFormat/>
    <w:rPr>
      <w:b/>
      <w:bCs/>
      <w:smallCaps/>
      <w:color w:val="2F5496" w:themeColor="accent1" w:themeShade="BF"/>
      <w:spacing w:val="5"/>
    </w:rPr>
  </w:style>
  <w:style w:type="character" w:customStyle="1" w:styleId="a5">
    <w:name w:val="页脚 字符"/>
    <w:basedOn w:val="a1"/>
    <w:link w:val="a4"/>
    <w:uiPriority w:val="99"/>
    <w:qFormat/>
    <w:rPr>
      <w:sz w:val="18"/>
      <w:szCs w:val="18"/>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 w:val="32"/>
      <w:szCs w:val="32"/>
    </w:rPr>
  </w:style>
  <w:style w:type="character" w:customStyle="1" w:styleId="a7">
    <w:name w:val="页眉 字符"/>
    <w:basedOn w:val="a1"/>
    <w:link w:val="a6"/>
    <w:uiPriority w:val="99"/>
    <w:qFormat/>
    <w:rPr>
      <w:sz w:val="18"/>
      <w:szCs w:val="18"/>
    </w:rPr>
  </w:style>
  <w:style w:type="table" w:styleId="af2">
    <w:name w:val="Table Grid"/>
    <w:basedOn w:val="a2"/>
    <w:qFormat/>
    <w:rsid w:val="0085001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梦娜 鲍</dc:creator>
  <cp:lastModifiedBy>梦娜 鲍</cp:lastModifiedBy>
  <cp:revision>25</cp:revision>
  <dcterms:created xsi:type="dcterms:W3CDTF">2025-01-14T09:03:00Z</dcterms:created>
  <dcterms:modified xsi:type="dcterms:W3CDTF">2025-03-13T05:40:00Z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eyJoZGlkIjoiMGQ4NGI2M2I2NzVhZmFlNzNhY2NkMTk4MTcwYmRkMGIiLCJ1c2VySWQiOiIzNDgzNTIwMjUifQ==</vt:lpwstr>
  </property>
  <property fmtid="{D5CDD505-2E9C-101B-9397-08002B2CF9AE}" pid="3" name="KSOProductBuildVer">
    <vt:lpwstr>2052-12.1.0.20305</vt:lpwstr>
  </property>
  <property fmtid="{D5CDD505-2E9C-101B-9397-08002B2CF9AE}" pid="4" name="ICV">
    <vt:lpwstr>1E55E96948C14276B7BC91AB6EB42648_13</vt:lpwstr>
  </property>
</Properties>
</file>